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7756" w14:textId="29631653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  <w:bookmarkStart w:id="0" w:name="_Hlk45276338"/>
    </w:p>
    <w:p w14:paraId="00E8CEEF" w14:textId="77777777" w:rsidR="007C0852" w:rsidRPr="00E461C5" w:rsidRDefault="007C0852" w:rsidP="007C0852">
      <w:pPr>
        <w:pStyle w:val="Nagwek"/>
        <w:ind w:firstLine="284"/>
        <w:jc w:val="center"/>
        <w:rPr>
          <w:rFonts w:ascii="Times New Roman" w:hAnsi="Times New Roman" w:cs="Times New Roman"/>
          <w:color w:val="000000" w:themeColor="text1"/>
        </w:rPr>
      </w:pPr>
    </w:p>
    <w:p w14:paraId="0FC6C30B" w14:textId="77777777" w:rsidR="007C0852" w:rsidRPr="00E461C5" w:rsidRDefault="007C0852" w:rsidP="007C0852">
      <w:pPr>
        <w:pStyle w:val="Nagwek"/>
        <w:ind w:firstLine="284"/>
        <w:jc w:val="center"/>
        <w:rPr>
          <w:rFonts w:ascii="Times New Roman" w:hAnsi="Times New Roman" w:cs="Times New Roman"/>
          <w:color w:val="000000" w:themeColor="text1"/>
        </w:rPr>
      </w:pPr>
    </w:p>
    <w:p w14:paraId="57354826" w14:textId="77777777" w:rsidR="007C0852" w:rsidRPr="00E461C5" w:rsidRDefault="007C0852" w:rsidP="007C0852">
      <w:pPr>
        <w:pStyle w:val="Nagwek"/>
        <w:ind w:firstLine="284"/>
        <w:jc w:val="center"/>
        <w:rPr>
          <w:rFonts w:ascii="Times New Roman" w:hAnsi="Times New Roman" w:cs="Times New Roman"/>
          <w:color w:val="000000" w:themeColor="text1"/>
        </w:rPr>
      </w:pPr>
    </w:p>
    <w:p w14:paraId="321DBAC3" w14:textId="77777777" w:rsidR="007C0852" w:rsidRPr="00E461C5" w:rsidRDefault="007C0852" w:rsidP="007C0852">
      <w:pPr>
        <w:pStyle w:val="Nagwek"/>
        <w:ind w:firstLine="284"/>
        <w:jc w:val="center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noProof/>
          <w:color w:val="000000" w:themeColor="text1"/>
          <w:lang w:eastAsia="pl-PL"/>
        </w:rPr>
        <w:drawing>
          <wp:inline distT="0" distB="0" distL="0" distR="0" wp14:anchorId="11372640" wp14:editId="0BC32578">
            <wp:extent cx="828675" cy="1054677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304" cy="105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2A654" w14:textId="2BC54B14" w:rsidR="007C0852" w:rsidRPr="00E461C5" w:rsidRDefault="00A0227A" w:rsidP="007C0852">
      <w:pPr>
        <w:pStyle w:val="Nagwek"/>
        <w:ind w:firstLine="28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28.05.2026 r.</w:t>
      </w:r>
    </w:p>
    <w:p w14:paraId="4A03B60A" w14:textId="77777777" w:rsidR="007C0852" w:rsidRPr="00E461C5" w:rsidRDefault="007C0852" w:rsidP="007C0852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0B6B6917" w14:textId="77777777" w:rsidR="007C0852" w:rsidRPr="00E461C5" w:rsidRDefault="007C0852" w:rsidP="007C0852">
      <w:pPr>
        <w:ind w:firstLine="284"/>
        <w:jc w:val="center"/>
        <w:rPr>
          <w:b/>
          <w:color w:val="000000" w:themeColor="text1"/>
          <w:sz w:val="22"/>
          <w:szCs w:val="22"/>
        </w:rPr>
      </w:pPr>
      <w:r w:rsidRPr="00E461C5">
        <w:rPr>
          <w:b/>
          <w:color w:val="000000" w:themeColor="text1"/>
          <w:sz w:val="22"/>
          <w:szCs w:val="22"/>
        </w:rPr>
        <w:t xml:space="preserve">    </w:t>
      </w:r>
    </w:p>
    <w:p w14:paraId="7CC8883A" w14:textId="562BEFCB" w:rsidR="007C0852" w:rsidRPr="00E945BC" w:rsidRDefault="007C0852" w:rsidP="00E945BC">
      <w:pPr>
        <w:ind w:firstLine="284"/>
        <w:jc w:val="center"/>
        <w:rPr>
          <w:b/>
          <w:color w:val="000000" w:themeColor="text1"/>
          <w:sz w:val="22"/>
          <w:szCs w:val="22"/>
        </w:rPr>
      </w:pPr>
      <w:r w:rsidRPr="00E461C5">
        <w:rPr>
          <w:b/>
          <w:color w:val="000000" w:themeColor="text1"/>
          <w:sz w:val="22"/>
          <w:szCs w:val="22"/>
        </w:rPr>
        <w:t xml:space="preserve">  ZAPYTANIE OFERTOWE</w:t>
      </w:r>
      <w:bookmarkEnd w:id="0"/>
    </w:p>
    <w:p w14:paraId="341F0DE2" w14:textId="77777777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</w:p>
    <w:p w14:paraId="74A72F04" w14:textId="2867FBF7" w:rsidR="00E9332A" w:rsidRPr="00F807F0" w:rsidRDefault="007C0852" w:rsidP="00E9332A">
      <w:pPr>
        <w:spacing w:after="280"/>
        <w:jc w:val="center"/>
        <w:rPr>
          <w:color w:val="EE0000"/>
        </w:rPr>
      </w:pPr>
      <w:r w:rsidRPr="00E461C5">
        <w:rPr>
          <w:color w:val="000000" w:themeColor="text1"/>
          <w:sz w:val="22"/>
          <w:szCs w:val="22"/>
        </w:rPr>
        <w:t xml:space="preserve">Politechnika Morska w Szczecinie ul. Wały Chrobrego 1-2, 70-500 Szczecin kieruje zapytanie ofertowe na: </w:t>
      </w:r>
      <w:r w:rsidRPr="00E461C5">
        <w:rPr>
          <w:b/>
          <w:bCs/>
          <w:color w:val="000000" w:themeColor="text1"/>
          <w:sz w:val="22"/>
          <w:szCs w:val="22"/>
        </w:rPr>
        <w:t>„</w:t>
      </w:r>
      <w:r w:rsidR="00E9332A" w:rsidRPr="00B86D09">
        <w:rPr>
          <w:b/>
        </w:rPr>
        <w:t>Zakup</w:t>
      </w:r>
      <w:r w:rsidR="00ED7202" w:rsidRPr="00B86D09">
        <w:rPr>
          <w:b/>
        </w:rPr>
        <w:t xml:space="preserve"> i </w:t>
      </w:r>
      <w:r w:rsidR="00E9332A" w:rsidRPr="00B86D09">
        <w:rPr>
          <w:b/>
        </w:rPr>
        <w:t>dostawa</w:t>
      </w:r>
      <w:r w:rsidR="00ED7202" w:rsidRPr="00B86D09">
        <w:rPr>
          <w:b/>
        </w:rPr>
        <w:t xml:space="preserve"> </w:t>
      </w:r>
      <w:r w:rsidR="00E9332A" w:rsidRPr="00B86D09">
        <w:rPr>
          <w:b/>
        </w:rPr>
        <w:t>kolumny synchronizacji generatorów i przekształtników dla Laboratorium Elektrotechniki Okrętowej.</w:t>
      </w:r>
      <w:r w:rsidR="00ED7202" w:rsidRPr="00B86D09">
        <w:rPr>
          <w:b/>
        </w:rPr>
        <w:t>”</w:t>
      </w:r>
    </w:p>
    <w:p w14:paraId="75DEA68A" w14:textId="4CC3A071" w:rsidR="00C73EDF" w:rsidRDefault="00C73EDF" w:rsidP="00E9332A">
      <w:pPr>
        <w:spacing w:after="280"/>
      </w:pPr>
      <w:r>
        <w:t xml:space="preserve">w ramach projektu Laboratoria 4.0 – Nowoczesne kształcenie praktyczne w Politechnice Morskiej w Szczecinie, dofinansowanego w ramach Programu Fundusze Europejskie dla Pomorza Zachodniego 2021 – 2027, nr umowy: FEPZ.05.03-IZ.00-0007/24 </w:t>
      </w:r>
    </w:p>
    <w:p w14:paraId="3C30350A" w14:textId="77777777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</w:p>
    <w:p w14:paraId="206F8B0A" w14:textId="77777777" w:rsidR="007C0852" w:rsidRPr="00E461C5" w:rsidRDefault="007C0852" w:rsidP="007C0852">
      <w:pPr>
        <w:jc w:val="both"/>
        <w:rPr>
          <w:b/>
          <w:color w:val="000000" w:themeColor="text1"/>
          <w:sz w:val="22"/>
          <w:szCs w:val="22"/>
          <w:u w:val="single"/>
          <w:lang w:eastAsia="pl-PL"/>
        </w:rPr>
      </w:pPr>
      <w:r w:rsidRPr="00E461C5">
        <w:rPr>
          <w:b/>
          <w:color w:val="000000" w:themeColor="text1"/>
          <w:sz w:val="22"/>
          <w:szCs w:val="22"/>
          <w:u w:val="single"/>
          <w:lang w:eastAsia="pl-PL"/>
        </w:rPr>
        <w:t>Zamawiający:</w:t>
      </w:r>
    </w:p>
    <w:p w14:paraId="7235C044" w14:textId="77777777" w:rsidR="007C0852" w:rsidRPr="00E461C5" w:rsidRDefault="007C0852" w:rsidP="007C0852">
      <w:pPr>
        <w:jc w:val="both"/>
        <w:rPr>
          <w:b/>
          <w:color w:val="000000" w:themeColor="text1"/>
          <w:sz w:val="22"/>
          <w:szCs w:val="22"/>
          <w:u w:val="single"/>
          <w:lang w:eastAsia="pl-PL"/>
        </w:rPr>
      </w:pPr>
    </w:p>
    <w:p w14:paraId="131DF567" w14:textId="77777777" w:rsidR="007C0852" w:rsidRPr="00E461C5" w:rsidRDefault="007C0852" w:rsidP="007C0852">
      <w:pPr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Politechnika Morska w Szczecinie</w:t>
      </w:r>
    </w:p>
    <w:p w14:paraId="7F5C3E44" w14:textId="2B5DECCE" w:rsidR="007C0852" w:rsidRPr="00E461C5" w:rsidRDefault="00E91273" w:rsidP="007C0852">
      <w:pPr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u</w:t>
      </w:r>
      <w:r w:rsidR="007C0852" w:rsidRPr="00E461C5">
        <w:rPr>
          <w:color w:val="000000" w:themeColor="text1"/>
          <w:sz w:val="22"/>
          <w:szCs w:val="22"/>
          <w:lang w:eastAsia="pl-PL"/>
        </w:rPr>
        <w:t>l. Wały Chrobrego 1-2</w:t>
      </w:r>
    </w:p>
    <w:p w14:paraId="10CDAC58" w14:textId="77777777" w:rsidR="007C0852" w:rsidRPr="00E461C5" w:rsidRDefault="007C0852" w:rsidP="007C0852">
      <w:pPr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70-500 Szczecin</w:t>
      </w:r>
    </w:p>
    <w:p w14:paraId="09764257" w14:textId="6744AF21" w:rsidR="00E363C7" w:rsidRPr="00B86D09" w:rsidRDefault="00EE47DB" w:rsidP="00B86D09">
      <w:pPr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NIP: 8510006388</w:t>
      </w:r>
    </w:p>
    <w:p w14:paraId="3F95979A" w14:textId="77777777" w:rsidR="00E363C7" w:rsidRDefault="00E363C7" w:rsidP="00C506E5">
      <w:pPr>
        <w:jc w:val="both"/>
        <w:rPr>
          <w:b/>
          <w:bCs/>
          <w:lang w:eastAsia="pl-PL"/>
        </w:rPr>
      </w:pPr>
    </w:p>
    <w:p w14:paraId="55A9A9E9" w14:textId="509199A2" w:rsidR="00C506E5" w:rsidRPr="008A7E32" w:rsidRDefault="00C506E5" w:rsidP="008A7E32">
      <w:pPr>
        <w:jc w:val="both"/>
        <w:rPr>
          <w:b/>
          <w:bCs/>
          <w:lang w:eastAsia="pl-PL"/>
        </w:rPr>
      </w:pPr>
    </w:p>
    <w:p w14:paraId="68E844AF" w14:textId="77777777" w:rsidR="00C506E5" w:rsidRDefault="00C506E5" w:rsidP="00C506E5">
      <w:pPr>
        <w:rPr>
          <w:b/>
          <w:bCs/>
          <w:u w:val="single"/>
          <w:lang w:eastAsia="pl-PL"/>
        </w:rPr>
      </w:pPr>
    </w:p>
    <w:p w14:paraId="7F6CB943" w14:textId="77777777" w:rsidR="000517B8" w:rsidRPr="007E7AFF" w:rsidRDefault="000517B8" w:rsidP="000517B8">
      <w:pPr>
        <w:spacing w:after="160"/>
        <w:jc w:val="center"/>
      </w:pPr>
      <w:r w:rsidRPr="007E7AFF">
        <w:rPr>
          <w:b/>
          <w:sz w:val="32"/>
        </w:rPr>
        <w:t>Opis przedmiotu zamówienia</w:t>
      </w:r>
    </w:p>
    <w:p w14:paraId="090C3DAC" w14:textId="749C7C61" w:rsidR="000517B8" w:rsidRPr="00B86D09" w:rsidRDefault="00ED7202" w:rsidP="000517B8">
      <w:pPr>
        <w:spacing w:after="280"/>
        <w:jc w:val="center"/>
        <w:rPr>
          <w:bCs/>
        </w:rPr>
      </w:pPr>
      <w:r w:rsidRPr="00B86D09">
        <w:rPr>
          <w:bCs/>
        </w:rPr>
        <w:t>Zakup i dostawa kolumny synchronizacji generatorów i przekształtników dla Laboratorium Elektrotechniki Okrętowej</w:t>
      </w:r>
      <w:r w:rsidR="000517B8" w:rsidRPr="00B86D09">
        <w:rPr>
          <w:bCs/>
        </w:rPr>
        <w:t>.</w:t>
      </w:r>
    </w:p>
    <w:p w14:paraId="35A6AC8D" w14:textId="77777777" w:rsidR="000517B8" w:rsidRPr="00B86D09" w:rsidRDefault="000517B8" w:rsidP="000517B8">
      <w:pPr>
        <w:pStyle w:val="Nagwek1"/>
        <w:rPr>
          <w:rFonts w:ascii="Times New Roman" w:hAnsi="Times New Roman" w:cs="Times New Roman"/>
          <w:sz w:val="28"/>
          <w:szCs w:val="28"/>
        </w:rPr>
      </w:pPr>
      <w:r w:rsidRPr="007E7AFF">
        <w:rPr>
          <w:rFonts w:ascii="Calibri" w:eastAsia="Calibri" w:hAnsi="Calibri"/>
        </w:rPr>
        <w:t>1</w:t>
      </w:r>
      <w:r w:rsidRPr="00B86D09">
        <w:rPr>
          <w:rFonts w:ascii="Times New Roman" w:eastAsia="Calibri" w:hAnsi="Times New Roman" w:cs="Times New Roman"/>
          <w:sz w:val="28"/>
          <w:szCs w:val="28"/>
        </w:rPr>
        <w:t>. Przedmiot zamówienia</w:t>
      </w:r>
    </w:p>
    <w:p w14:paraId="5636787C" w14:textId="77777777" w:rsidR="000517B8" w:rsidRPr="007E7AFF" w:rsidRDefault="000517B8" w:rsidP="000517B8">
      <w:pPr>
        <w:jc w:val="both"/>
      </w:pPr>
      <w:r w:rsidRPr="007E7AFF">
        <w:t xml:space="preserve">Przedmiotem zamówienia jest dostawa kompletnej kolumny synchronizacji generatorów i przekształtników, przeznaczonej do pomiaru, wizualizacji i wspomagania procesu </w:t>
      </w:r>
      <w:r w:rsidRPr="007E7AFF">
        <w:lastRenderedPageBreak/>
        <w:t>synchronizacji trójfazowych źródeł energii elektrycznej z szyną laboratoryjną, siecią wydzieloną albo innymi źródłami pracującymi równolegle.</w:t>
      </w:r>
    </w:p>
    <w:p w14:paraId="02B91008" w14:textId="77777777" w:rsidR="000517B8" w:rsidRPr="007E7AFF" w:rsidRDefault="000517B8" w:rsidP="000517B8">
      <w:pPr>
        <w:jc w:val="both"/>
      </w:pPr>
      <w:r w:rsidRPr="007E7AFF">
        <w:t>Kolumna ma umożliwiać synchronizację i kontrolowane załączanie źródeł generatorowych oraz źródeł współpracujących przez przekształtniki energoelektroniczne, w tym układów zasilanych z odnawialnych źródeł energii, magazynów energii albo układów wodorowych przekształcających wodór do postaci energii elektrycznej.</w:t>
      </w:r>
    </w:p>
    <w:p w14:paraId="331C02C5" w14:textId="77777777" w:rsidR="000517B8" w:rsidRPr="007E7AFF" w:rsidRDefault="000517B8" w:rsidP="000517B8">
      <w:pPr>
        <w:pStyle w:val="Nagwek1"/>
      </w:pPr>
      <w:r w:rsidRPr="007E7AFF">
        <w:rPr>
          <w:rFonts w:ascii="Calibri" w:eastAsia="Calibri" w:hAnsi="Calibri"/>
        </w:rPr>
        <w:t>2. Lokalizacja, przeznaczenie i założenia użytkowe</w:t>
      </w:r>
    </w:p>
    <w:p w14:paraId="0D215E57" w14:textId="1E61DFF1" w:rsidR="000517B8" w:rsidRPr="007E7AFF" w:rsidRDefault="000517B8" w:rsidP="00B86D09">
      <w:pPr>
        <w:spacing w:after="80"/>
        <w:ind w:left="198" w:hanging="198"/>
        <w:jc w:val="both"/>
      </w:pPr>
      <w:r w:rsidRPr="007E7AFF">
        <w:t>- Urządzenie będzie stanowiło doposażenie Laboratorium Elektrotechniki Okrętowej, w którym znajdują się stanowiska generacji i rozdziału energii elektrycznej, rozdzielnica niskiego napięcia, prądnice synchroniczne, wyłączniki prądnicowe, zabezpieczenia i obciążenia laboratoryjne. Planowane miejsce użytkowania: sal</w:t>
      </w:r>
      <w:r>
        <w:t>a 1</w:t>
      </w:r>
      <w:r w:rsidRPr="007E7AFF">
        <w:t>06, budynek nr 4, ul. Willowa 1-2 w Szczecinie albo inne miejsce wskazane przez Zamawiającego w obrębie laboratorium.</w:t>
      </w:r>
    </w:p>
    <w:p w14:paraId="542CE82D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Kolumna powinna umożliwiać pracę z układami trójfazowymi niskiego napięcia, w szczególności z układem 3 x 400 VAC, 50 Hz, oraz powinna dopuszczać współpracę z układami 60 Hz lub z innymi napięciami poprzez przekładniki napięciowe, jeżeli wymaga tego konfiguracja stanowiska.</w:t>
      </w:r>
    </w:p>
    <w:p w14:paraId="59D3E581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Kolumna powinna wspierać zarówno pracę dydaktyczną, jak i badawczą: obserwację warunków synchronizacji, symulowanie stanów przed synchronizacją, generowanie sygnału synchronizacji oraz analizę ryzyka załączenia źródła poza dopuszczalnym zakresem.</w:t>
      </w:r>
    </w:p>
    <w:p w14:paraId="311879EE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Rozwiązanie powinno być przystosowane do współpracy z istniejącą aparaturą łączeniową i zabezpieczeniową, a także z projektowanymi układami sterowania generatorami, regulatorami napięcia, przekształtnikami i systemami nadzoru laboratoryjnego.</w:t>
      </w:r>
    </w:p>
    <w:p w14:paraId="130A60CD" w14:textId="77777777" w:rsidR="000517B8" w:rsidRPr="007E7AFF" w:rsidRDefault="000517B8" w:rsidP="000517B8">
      <w:pPr>
        <w:pStyle w:val="Nagwek1"/>
      </w:pPr>
      <w:r w:rsidRPr="007E7AFF">
        <w:rPr>
          <w:rFonts w:ascii="Calibri" w:eastAsia="Calibri" w:hAnsi="Calibri"/>
        </w:rPr>
        <w:t>3. Minimalny zakres dostawy</w:t>
      </w:r>
    </w:p>
    <w:p w14:paraId="10305AF0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jedna kompletna kolumna synchronizacji generatorów i przekształtników w obudowie stanowiskowej, pulpitowej, szafowej, panelowej albo równoważnej;</w:t>
      </w:r>
    </w:p>
    <w:p w14:paraId="2A1D6116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układ pomiaru napięcia, częstotliwości i przesunięcia fazowego pomiędzy źródłem synchronizowanym a szyną odniesienia / siecią laboratoryjną;</w:t>
      </w:r>
    </w:p>
    <w:p w14:paraId="44224FCD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układ wizualizacji procesu synchronizacji, np. synchronoskop cyfrowy, wskaźnik graficzny, wskaźniki różnicy napięć i częstotliwości, sygnalizacja warunku synchronizacji oraz sygnalizacja alarmów;</w:t>
      </w:r>
    </w:p>
    <w:p w14:paraId="735C37E6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wejścia sterujące i wyjścia przekaźnikowe albo równoważne sygnały do współpracy z wyłącznikiem, stycznikiem, układem sterowania generatora, przekształtnikiem albo blokadą synchronizacji;</w:t>
      </w:r>
    </w:p>
    <w:p w14:paraId="33D956E2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interfejs komunikacyjny do odczytu danych, konfiguracji albo integracji z nadrzędnym systemem laboratoryjnym, np. RS-485/Modbus RTU, Ethernet/Modbus TCP, webserwer albo rozwiązanie równoważne;</w:t>
      </w:r>
    </w:p>
    <w:p w14:paraId="33E6FE55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lastRenderedPageBreak/>
        <w:t>- zasilacze, zabezpieczenia pomocnicze, listwy zaciskowe, przewody, oznaczniki, przepusty, adaptery, przekładniki lub wejścia do przekładników, jeżeli są wymagane dla poprawnej pracy w laboratorium;</w:t>
      </w:r>
    </w:p>
    <w:p w14:paraId="3FB7E1BD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dokumentacja techniczna, schematy, instrukcje, konfiguracja początkowa, uruchomienie, próby funkcjonalne i instruktaż stanowiskowy.</w:t>
      </w:r>
    </w:p>
    <w:p w14:paraId="0C5BE7DB" w14:textId="77777777" w:rsidR="000517B8" w:rsidRPr="007E7AFF" w:rsidRDefault="000517B8" w:rsidP="000517B8">
      <w:pPr>
        <w:pStyle w:val="Nagwek1"/>
      </w:pPr>
      <w:r w:rsidRPr="007E7AFF">
        <w:rPr>
          <w:rFonts w:ascii="Calibri" w:eastAsia="Calibri" w:hAnsi="Calibri"/>
        </w:rPr>
        <w:t>4. Wymagania techniczno-funkcjonalne</w:t>
      </w:r>
    </w:p>
    <w:p w14:paraId="3CDA6804" w14:textId="77777777" w:rsidR="000517B8" w:rsidRPr="007E7AFF" w:rsidRDefault="000517B8" w:rsidP="000517B8">
      <w:pPr>
        <w:pStyle w:val="Nagwek2"/>
      </w:pPr>
      <w:r w:rsidRPr="007E7AFF">
        <w:rPr>
          <w:rFonts w:ascii="Calibri" w:eastAsia="Calibri" w:hAnsi="Calibri"/>
        </w:rPr>
        <w:t>4.1. Funkcje synchronizacji i sterowania</w:t>
      </w:r>
    </w:p>
    <w:p w14:paraId="21D548C8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pomiar i porównanie napięcia źródła synchronizowanego oraz napięcia szyn / sieci odniesienia;</w:t>
      </w:r>
    </w:p>
    <w:p w14:paraId="0E55E6A5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pomiar i porównanie częstotliwości źródła synchronizowanego oraz częstotliwości szyn / sieci odniesienia;</w:t>
      </w:r>
    </w:p>
    <w:p w14:paraId="107DEE15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pomiar i wizualizacja przesunięcia fazowego pomiędzy napięciem źródła synchronizowanego a napięciem odniesienia;</w:t>
      </w:r>
    </w:p>
    <w:p w14:paraId="4A236090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sygnalizacja spełnienia warunku synchronizacji na podstawie konfigurowalnych progów różnicy napięcia, różnicy częstotliwości i przesunięcia fazowego;</w:t>
      </w:r>
    </w:p>
    <w:p w14:paraId="4A3C5259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możliwość wygenerowania impulsu synchronizacji, sygnału zezwolenia albo innego sygnału sterującego do załączenia wyłącznika / stycznika / wejścia sterowania przekształtnika;</w:t>
      </w:r>
    </w:p>
    <w:p w14:paraId="072FF89A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możliwość blokowania synchronizacji sygnałem zewnętrznym albo lokalnym przełącznikiem blokady, w celu zapobieżenia niezamierzonemu załączeniu;</w:t>
      </w:r>
    </w:p>
    <w:p w14:paraId="5D3FC5B7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możliwość współpracy z automatycznymi regulatorami napięcia oraz regulatorami prędkości / częstotliwości poprzez wskazania, sygnały sterujące albo komunikację z systemem nadrzędnym.</w:t>
      </w:r>
    </w:p>
    <w:p w14:paraId="7290EA33" w14:textId="77777777" w:rsidR="000517B8" w:rsidRPr="007E7AFF" w:rsidRDefault="000517B8" w:rsidP="000517B8">
      <w:pPr>
        <w:pStyle w:val="Nagwek2"/>
      </w:pPr>
      <w:r w:rsidRPr="007E7AFF">
        <w:rPr>
          <w:rFonts w:ascii="Calibri" w:eastAsia="Calibri" w:hAnsi="Calibri"/>
        </w:rPr>
        <w:t>4.2. Parametry pomiarowe i wejściowe</w:t>
      </w:r>
    </w:p>
    <w:p w14:paraId="3C7595DF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obsługiwane źródła: trójfazowe generatory synchroniczne, źródła przekształtnikowe, układy falownikowe lub inne źródła niskiego napięcia wymagające synchronizacji z szyną laboratoryjną;</w:t>
      </w:r>
    </w:p>
    <w:p w14:paraId="060362DC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napięcie robocze stanowiska: układ 3 x 400 VAC, z możliwością pracy bezpośrednio lub poprzez przekładniki napięciowe; dopuszcza się zakresy wejściowe obejmujące np. 50-150 V, 150-400 V, 60-480 V albo inne równoważne zakresy zapewniające kompatybilność z laboratorium;</w:t>
      </w:r>
    </w:p>
    <w:p w14:paraId="4AF4330A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częstotliwość nominalna: 50 Hz, z możliwością pracy przy 60 Hz lub w zakresie co najmniej 45-65 Hz;</w:t>
      </w:r>
    </w:p>
    <w:p w14:paraId="1556EB6A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pomiar napięcia: bezpośredni lub pośredni przez przekładniki napięciowe; wymagane jest wskazanie napięcia źródła, napięcia szyn oraz różnicy napięć albo równoważnej informacji umożliwiającej ocenę synchronizacji;</w:t>
      </w:r>
    </w:p>
    <w:p w14:paraId="429200BF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lastRenderedPageBreak/>
        <w:t>- pomiar częstotliwości: wskazanie częstotliwości źródła i szyn oraz różnicy częstotliwości; rozdzielczość wskazań powinna być wystarczająca do prowadzenia ćwiczeń, orientacyjnie nie gorsza niż 0,01-0,1 Hz;</w:t>
      </w:r>
    </w:p>
    <w:p w14:paraId="763384E9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pomiar przesunięcia fazowego: wskazanie kierunku i wartości przesunięcia fazowego; orientacyjna rozdzielczość wskazań nie gorsza niż 1 stopień albo równoważna prezentacja na synchronoskopie;</w:t>
      </w:r>
    </w:p>
    <w:p w14:paraId="317EE392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progi synchronizacji: możliwość nastawy co najmniej dopuszczalnej różnicy napięcia, różnicy częstotliwości i kąta fazowego; dopuszczalne zakresy nastaw powinny umożliwiać pracę laboratoryjną, np. kilka do kilkunastu procent dla napięcia, ułamki do kilku Hz dla częstotliwości oraz kilka do kilkudziesięciu stopni dla kąta fazowego;</w:t>
      </w:r>
    </w:p>
    <w:p w14:paraId="6BED1481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zasilanie układów pomocniczych: 230 VAC, 24 VDC albo inne napięcie pomocnicze uzgodnione z Zamawiającym; jeżeli wymagane są zasilacze, należy dostarczyć je w ramach zamówienia.</w:t>
      </w:r>
    </w:p>
    <w:p w14:paraId="0138891C" w14:textId="77777777" w:rsidR="000517B8" w:rsidRPr="007E7AFF" w:rsidRDefault="000517B8" w:rsidP="000517B8">
      <w:pPr>
        <w:pStyle w:val="Nagwek2"/>
      </w:pPr>
      <w:r w:rsidRPr="007E7AFF">
        <w:rPr>
          <w:rFonts w:ascii="Calibri" w:eastAsia="Calibri" w:hAnsi="Calibri"/>
        </w:rPr>
        <w:t>4.3. Wizualizacja, komunikacja i rejestracja danych</w:t>
      </w:r>
    </w:p>
    <w:p w14:paraId="70F0AE8B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czytelna lokalna wizualizacja procesu synchronizacji, obejmująca co najmniej informację o różnicy napięcia, różnicy częstotliwości, przesunięciu fazowym i stanie gotowości do synchronizacji;</w:t>
      </w:r>
    </w:p>
    <w:p w14:paraId="5C64ED40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sygnalizacja świetlna, komunikaty ekranowe albo wskaźniki stanów pracy, alarmu, blokady, gotowości i wygenerowania sygnału synchronizacji;</w:t>
      </w:r>
    </w:p>
    <w:p w14:paraId="26EEA511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interfejs komunikacyjny umożliwiający integrację z systemem laboratoryjnym lub komputerem operatorskim; wymagany co najmniej RS-485/Modbus RTU albo rozwiązanie równoważne, dopuszczalne jest dodatkowo Ethernet/Modbus TCP, webserwer, USB lub inny interfejs producenta;</w:t>
      </w:r>
    </w:p>
    <w:p w14:paraId="2C3F3779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możliwość odczytu wybranych parametrów zdalnie albo z poziomu oprogramowania konfiguracyjnego, w szczególności napięć, częstotliwości, różnic, kąta fazowego, stanów wejść / wyjść i alarmów;</w:t>
      </w:r>
    </w:p>
    <w:p w14:paraId="103FDC93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możliwość konfiguracji progów, histerez, czasu impulsu synchronizacji, czasu wyprzedzenia albo innych parametrów wpływających na warunek synchronizacji;</w:t>
      </w:r>
    </w:p>
    <w:p w14:paraId="7CFDAF0B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zalecana możliwość zapisu zdarzeń, wartości minimalnych / maksymalnych albo eksportu danych do wykorzystania w ćwiczeniach; funkcja może być realizowana bezpośrednio w kolumnie albo przez system nadrzędny.</w:t>
      </w:r>
    </w:p>
    <w:p w14:paraId="2B312951" w14:textId="77777777" w:rsidR="000517B8" w:rsidRPr="007E7AFF" w:rsidRDefault="000517B8" w:rsidP="000517B8">
      <w:pPr>
        <w:pStyle w:val="Nagwek1"/>
      </w:pPr>
      <w:r w:rsidRPr="007E7AFF">
        <w:rPr>
          <w:rFonts w:ascii="Calibri" w:eastAsia="Calibri" w:hAnsi="Calibri"/>
        </w:rPr>
        <w:t>4.4. Budowa, ergonomia i bezpieczeństwo</w:t>
      </w:r>
    </w:p>
    <w:p w14:paraId="180AC6B2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kolumna musi być wykonana w sposób umożliwiający bezpieczną pracę dydaktyczną, z czytelnym opisem zacisków, przełączników, wskaźników i złączy;</w:t>
      </w:r>
    </w:p>
    <w:p w14:paraId="70754BF7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 xml:space="preserve">- obudowa musi zapewniać ochronę przed przypadkowym dotknięciem części pod napięciem i odpowiadać warunkom pracy w laboratorium elektrotechnicznym; od strony dostępnej dla </w:t>
      </w:r>
      <w:r w:rsidRPr="007E7AFF">
        <w:lastRenderedPageBreak/>
        <w:t>użytkownika wymagany jest stopień ochrony odpowiedni do zastosowania dydaktycznego, co najmniej IP20, a dla paneli operatorskich preferowany wyższy stopień ochrony;</w:t>
      </w:r>
    </w:p>
    <w:p w14:paraId="3F817C63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układ powinien posiadać blokady logiczne albo elektryczne ograniczające możliwość załączenia źródła poza dopuszczalnymi warunkami synchronizacji;</w:t>
      </w:r>
    </w:p>
    <w:p w14:paraId="658DAC4B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wymagane jest zapewnienie zacisku ochronnego PE oraz prawidłowego uziemienia obudowy i elementów metalowych;</w:t>
      </w:r>
    </w:p>
    <w:p w14:paraId="07179A48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wszystkie elementy muszą być dobrane do napięć, prądów, kategorii pomiarowej i środowiska pracy stanowiska, a Wykonawca musi przedstawić dokumentację potwierdzającą ich przeznaczenie.</w:t>
      </w:r>
    </w:p>
    <w:p w14:paraId="2F867840" w14:textId="77777777" w:rsidR="000517B8" w:rsidRPr="00B86D09" w:rsidRDefault="000517B8" w:rsidP="000517B8">
      <w:pPr>
        <w:pStyle w:val="Nagwek1"/>
        <w:rPr>
          <w:rFonts w:ascii="Times New Roman" w:hAnsi="Times New Roman" w:cs="Times New Roman"/>
          <w:color w:val="auto"/>
        </w:rPr>
      </w:pPr>
      <w:r w:rsidRPr="007E7AFF">
        <w:rPr>
          <w:rFonts w:ascii="Calibri" w:eastAsia="Calibri" w:hAnsi="Calibri"/>
        </w:rPr>
        <w:t>5</w:t>
      </w:r>
      <w:r w:rsidRPr="00B86D09">
        <w:rPr>
          <w:rFonts w:ascii="Times New Roman" w:eastAsia="Calibri" w:hAnsi="Times New Roman" w:cs="Times New Roman"/>
          <w:color w:val="auto"/>
        </w:rPr>
        <w:t>. Wymagania montażowe i integracyjne</w:t>
      </w:r>
    </w:p>
    <w:p w14:paraId="54BFFCA6" w14:textId="464E02BA" w:rsidR="000517B8" w:rsidRPr="00B86D09" w:rsidRDefault="000517B8" w:rsidP="000517B8">
      <w:pPr>
        <w:spacing w:after="80"/>
        <w:ind w:left="198" w:hanging="198"/>
        <w:jc w:val="both"/>
      </w:pPr>
    </w:p>
    <w:p w14:paraId="644C5E7E" w14:textId="77777777" w:rsidR="000517B8" w:rsidRPr="00B86D09" w:rsidRDefault="000517B8" w:rsidP="000517B8">
      <w:pPr>
        <w:spacing w:after="80"/>
        <w:ind w:left="198" w:hanging="198"/>
        <w:jc w:val="both"/>
      </w:pPr>
      <w:r w:rsidRPr="00B86D09">
        <w:t>- Wykonawca dostarczy kolumnę jako urządzenie kompletne, umożliwiające uruchomienie bez konieczności zamawiania dodatkowych elementów, z wyjątkiem elementów infrastruktury nieobjętych zamówieniem i jednoznacznie wskazanych przez Zamawiającego.</w:t>
      </w:r>
    </w:p>
    <w:p w14:paraId="60D20115" w14:textId="412BB88F" w:rsidR="000517B8" w:rsidRPr="00B86D09" w:rsidRDefault="000517B8" w:rsidP="000517B8">
      <w:pPr>
        <w:spacing w:after="80"/>
        <w:ind w:left="198" w:hanging="198"/>
        <w:jc w:val="both"/>
      </w:pPr>
      <w:r w:rsidRPr="00B86D09">
        <w:t>- Kolumna powinna umożliwiać podłączenie co najmniej jednego źródła synchronizowanego i jednej szyny / sieci odniesienia.</w:t>
      </w:r>
    </w:p>
    <w:p w14:paraId="73805F63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Połączenia z wyłącznikami, stycznikami lub wejściami przekształtników muszą być wykonane przez styki bezpotencjałowe, wyjścia przekaźnikowe, wyjścia cyfrowe albo inne rozwiązanie uzgodnione z Zamawiającym i zgodne z dokumentacją urządzeń współpracujących.</w:t>
      </w:r>
    </w:p>
    <w:p w14:paraId="1ED85439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Wykonawca skonfiguruje parametry początkowe synchronizacji tak, aby możliwe było bezpieczne przeprowadzenie prób w laboratorium. Ostateczne nastawy robocze zostaną wpisane do dokumentacji powykonawczej.</w:t>
      </w:r>
    </w:p>
    <w:p w14:paraId="6C23E0E7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Instalacja musi być wykonana w sposób czytelny dla użytkowników dydaktycznych, z trwałym opisem złączy, torów pomiarowych, kierunku przepływu sygnałów oraz warunków bezpiecznego uruchomienia.</w:t>
      </w:r>
    </w:p>
    <w:p w14:paraId="3777E1B9" w14:textId="77777777" w:rsidR="000517B8" w:rsidRPr="007E7AFF" w:rsidRDefault="000517B8" w:rsidP="000517B8">
      <w:pPr>
        <w:pStyle w:val="Nagwek1"/>
      </w:pPr>
      <w:r w:rsidRPr="007E7AFF">
        <w:rPr>
          <w:rFonts w:ascii="Calibri" w:eastAsia="Calibri" w:hAnsi="Calibri"/>
        </w:rPr>
        <w:t>6. Wymagane możliwości dydaktyczne i badawcze</w:t>
      </w:r>
    </w:p>
    <w:p w14:paraId="0D1B4DF4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prezentacja warunków synchronizacji źródła trójfazowego z szyną laboratoryjną;</w:t>
      </w:r>
    </w:p>
    <w:p w14:paraId="6B8A31A6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analiza wpływu różnicy napięcia, różnicy częstotliwości i przesunięcia fazowego na możliwość załączenia źródła do pracy równoległej;</w:t>
      </w:r>
    </w:p>
    <w:p w14:paraId="2F9FAD5C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demonstracja działania synchronoskopu, wskaźników różnicowych, blokad i sygnału zezwolenia na załączenie;</w:t>
      </w:r>
    </w:p>
    <w:p w14:paraId="1BCA663C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porównanie synchronizacji źródła generatorowego i źródła współpracującego poprzez przekształtnik;</w:t>
      </w:r>
    </w:p>
    <w:p w14:paraId="3EC0CE09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lastRenderedPageBreak/>
        <w:t>- współpraca z automatycznymi regulatorami napięcia, układami zabezpieczeń, sterownikami PLC/HMI i systemem pomiarowym laboratorium;</w:t>
      </w:r>
    </w:p>
    <w:p w14:paraId="05ACF8A1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rejestracja albo odczyt parametrów synchronizacji do przygotowania raportów laboratoryjnych;</w:t>
      </w:r>
    </w:p>
    <w:p w14:paraId="57CAE54B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ćwiczenie procedur bezpiecznego przygotowania źródła, weryfikacji warunku synchronizacji, blokowania załączenia i wyłączenia awaryjnego.</w:t>
      </w:r>
    </w:p>
    <w:p w14:paraId="1DCB5FEA" w14:textId="77777777" w:rsidR="000517B8" w:rsidRPr="007E7AFF" w:rsidRDefault="000517B8" w:rsidP="000517B8">
      <w:pPr>
        <w:pStyle w:val="Nagwek1"/>
      </w:pPr>
      <w:r w:rsidRPr="007E7AFF">
        <w:rPr>
          <w:rFonts w:ascii="Calibri" w:eastAsia="Calibri" w:hAnsi="Calibri"/>
        </w:rPr>
        <w:t>7. Dokumentacja, próby i odbiory</w:t>
      </w:r>
    </w:p>
    <w:p w14:paraId="1E2B5C8A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Wykonawca dostarczy dokumentację techniczną w języku polskim lub angielskim, obejmującą co najmniej instrukcję obsługi, instrukcję montażu, schematy elektryczne, schematy połączeń pomiarowych i sterujących, opis zacisków, wykaz nastaw oraz procedury BHP.</w:t>
      </w:r>
    </w:p>
    <w:p w14:paraId="0089ED62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Wykonawca przekaże deklaracje zgodności, certyfikaty albo inne dokumenty producentów podzespołów potwierdzające spełnienie wymagań bezpieczeństwa i kompatybilności elektromagnetycznej w zakresie właściwym dla zastosowanych urządzeń.</w:t>
      </w:r>
    </w:p>
    <w:p w14:paraId="255D0CFF" w14:textId="77777777" w:rsidR="000517B8" w:rsidRPr="007E7AFF" w:rsidRDefault="000517B8" w:rsidP="000517B8">
      <w:pPr>
        <w:pStyle w:val="Nagwek1"/>
      </w:pPr>
      <w:r w:rsidRPr="007E7AFF">
        <w:rPr>
          <w:rFonts w:ascii="Calibri" w:eastAsia="Calibri" w:hAnsi="Calibri"/>
        </w:rPr>
        <w:t>8. Gwarancja i wymagania ogólne</w:t>
      </w:r>
    </w:p>
    <w:p w14:paraId="7DC84E0D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Minimalny wymagany okres gwarancji wynosi 24 miesiące od dnia podpisania bezusterkowego protokołu odbioru końcowego, chyba że Wykonawca zaoferuje okres dłuższy.</w:t>
      </w:r>
    </w:p>
    <w:p w14:paraId="08674A81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Gwarancja obejmuje kolumnę jako całość, w tym obudowę, panele operatorskie, moduły pomiarowe, wskaźniki, przekaźniki, zasilacze, zabezpieczenia, przewody, złącza, elementy komunikacyjne, oprogramowanie i pozostałe akcesoria dostarczone w ramach zamówienia.</w:t>
      </w:r>
    </w:p>
    <w:p w14:paraId="7DA1DB0D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W okresie gwarancji Wykonawca zapewni nieodpłatne usuwanie wad wynikających z przyczyn tkwiących w przedmiocie zamówienia oraz wsparcie techniczne w zakresie konfiguracji, diagnostyki i eksploatacji.</w:t>
      </w:r>
    </w:p>
    <w:p w14:paraId="455D77A9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Wykonawca powinien zapewnić możliwość zakupu części eksploatacyjnych, elementów zamiennych albo równoważnych przez okres co najmniej odpowiadający okresowi gwarancji.</w:t>
      </w:r>
    </w:p>
    <w:p w14:paraId="2DC464A3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Wszystkie dostarczone elementy muszą być fabrycznie nowe, kompletne, wolne od wad fizycznych i prawnych oraz gotowe do użytkowania po uruchomieniu.</w:t>
      </w:r>
    </w:p>
    <w:p w14:paraId="62559DAD" w14:textId="77777777" w:rsidR="000517B8" w:rsidRPr="007E7AFF" w:rsidRDefault="000517B8" w:rsidP="000517B8">
      <w:pPr>
        <w:pStyle w:val="Nagwek1"/>
      </w:pPr>
      <w:r w:rsidRPr="007E7AFF">
        <w:rPr>
          <w:rFonts w:ascii="Calibri" w:eastAsia="Calibri" w:hAnsi="Calibri"/>
        </w:rPr>
        <w:t>9. Równoważność i sposób interpretacji parametrów</w:t>
      </w:r>
    </w:p>
    <w:p w14:paraId="098ED53C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Zamawiający dopuszcza rozwiązania równoważne, w tym kolumny, panele lub moduły różnych producentów, o ile zapewniają wymagane funkcje pomiaru, wizualizacji, blokady i sygnalizacji warunku synchronizacji oraz współpracy z układami laboratoryjnymi.</w:t>
      </w:r>
    </w:p>
    <w:p w14:paraId="47971B0A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 xml:space="preserve">- Wszelkie wskazania dotyczące interfejsów, zakresów wejściowych, metod wizualizacji i sposobów sterowania należy rozumieć jako opis funkcjonalny. Dopuszcza się inną </w:t>
      </w:r>
      <w:r w:rsidRPr="007E7AFF">
        <w:lastRenderedPageBreak/>
        <w:t>konstrukcję techniczną, jeżeli zapewnia ona nie gorsze możliwości użytkowe, dydaktyczne i bezpieczeństwa.</w:t>
      </w:r>
    </w:p>
    <w:p w14:paraId="0AF529F9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W przypadku gdy zaoferowane urządzenie posiada parametry szersze niż wymagane, nie stanowi to niezgodności, o ile urządzenie może bezpiecznie pracować w istniejącej infrastrukturze laboratoryjnej i nie ogranicza realizacji ćwiczeń.</w:t>
      </w:r>
    </w:p>
    <w:p w14:paraId="7A57F90A" w14:textId="77777777" w:rsidR="000517B8" w:rsidRPr="007E7AFF" w:rsidRDefault="000517B8" w:rsidP="000517B8">
      <w:pPr>
        <w:spacing w:after="80"/>
        <w:ind w:left="198" w:hanging="198"/>
        <w:jc w:val="both"/>
      </w:pPr>
      <w:r w:rsidRPr="007E7AFF">
        <w:t>- W ofercie należy wskazać rzeczywiste parametry kolumny, obsługiwane zakresy napięcia i częstotliwości, sposób pomiaru przesunięcia fazowego, interfejsy komunikacyjne, rodzaj sygnałów wyjściowych, wymagania instalacyjne oraz zakres gwarancji.</w:t>
      </w:r>
    </w:p>
    <w:p w14:paraId="3F23ED8E" w14:textId="77777777" w:rsidR="000600ED" w:rsidRDefault="000600ED" w:rsidP="00C506E5">
      <w:pPr>
        <w:spacing w:line="276" w:lineRule="auto"/>
        <w:jc w:val="both"/>
        <w:textAlignment w:val="baseline"/>
      </w:pPr>
    </w:p>
    <w:p w14:paraId="1967FC8D" w14:textId="3858BBA8" w:rsidR="00C506E5" w:rsidRPr="00D93403" w:rsidRDefault="00C506E5" w:rsidP="00C506E5">
      <w:pPr>
        <w:spacing w:line="276" w:lineRule="auto"/>
        <w:jc w:val="both"/>
        <w:textAlignment w:val="baseline"/>
      </w:pPr>
      <w:r w:rsidRPr="00D93403">
        <w:t>W przypadku, gdy produkt posiada normę równoważną na Wykonawcy spoczywa obowiązek udowodnienia równoważności.</w:t>
      </w:r>
    </w:p>
    <w:p w14:paraId="45507CB9" w14:textId="77777777" w:rsidR="00C506E5" w:rsidRPr="00D93403" w:rsidRDefault="00C506E5" w:rsidP="00C506E5">
      <w:pPr>
        <w:autoSpaceDE w:val="0"/>
        <w:spacing w:after="60"/>
        <w:ind w:hanging="284"/>
        <w:jc w:val="both"/>
      </w:pPr>
      <w:r w:rsidRPr="00D93403">
        <w:t xml:space="preserve">     Podane przez Zamawiającego ewentualne nazwy (znaki towarowe), mają charakter przykładowy, a ich wskazanie ma na celu określenie oczekiwanego standardu, przy czym Zamawiający dopuszcza składanie ofert równoważnych w zakresie sporządzonego opisu przedmiotu zamówienia. </w:t>
      </w:r>
    </w:p>
    <w:p w14:paraId="3BCD9455" w14:textId="77777777" w:rsidR="00C506E5" w:rsidRPr="00D93403" w:rsidRDefault="00C506E5" w:rsidP="00C506E5">
      <w:pPr>
        <w:pStyle w:val="Tekstpodstawowy3"/>
        <w:spacing w:after="60"/>
        <w:jc w:val="both"/>
        <w:rPr>
          <w:sz w:val="22"/>
          <w:szCs w:val="22"/>
        </w:rPr>
      </w:pPr>
      <w:r w:rsidRPr="00D93403">
        <w:rPr>
          <w:sz w:val="22"/>
          <w:szCs w:val="22"/>
        </w:rPr>
        <w:t xml:space="preserve">Przedmiot zamówienia określono poprzez wskazanie obiektywnych cech technicznych </w:t>
      </w:r>
      <w:r w:rsidRPr="00D93403">
        <w:rPr>
          <w:sz w:val="22"/>
          <w:szCs w:val="22"/>
        </w:rPr>
        <w:br/>
        <w:t xml:space="preserve">i jakościowych oraz standardów, dla których określenia dopuszcza się wskazanie przykładowych znaków towarowych. </w:t>
      </w:r>
    </w:p>
    <w:p w14:paraId="58C05386" w14:textId="77777777" w:rsidR="00C506E5" w:rsidRPr="00D93403" w:rsidRDefault="00C506E5" w:rsidP="00C506E5">
      <w:pPr>
        <w:pStyle w:val="Tekstpodstawowy3"/>
        <w:spacing w:after="60"/>
        <w:jc w:val="both"/>
        <w:rPr>
          <w:sz w:val="22"/>
          <w:szCs w:val="22"/>
        </w:rPr>
      </w:pPr>
    </w:p>
    <w:p w14:paraId="655122EE" w14:textId="77777777" w:rsidR="00C506E5" w:rsidRPr="00D93403" w:rsidRDefault="00C506E5" w:rsidP="00C506E5">
      <w:pPr>
        <w:jc w:val="both"/>
        <w:rPr>
          <w:b/>
          <w:bCs/>
        </w:rPr>
      </w:pPr>
      <w:r w:rsidRPr="00D93403">
        <w:rPr>
          <w:b/>
          <w:bCs/>
          <w:u w:val="single"/>
        </w:rPr>
        <w:t>Termin realizacji:</w:t>
      </w:r>
    </w:p>
    <w:p w14:paraId="74B5E9D6" w14:textId="06661DFA" w:rsidR="00C506E5" w:rsidRPr="00D93403" w:rsidRDefault="00C506E5" w:rsidP="00C506E5">
      <w:pPr>
        <w:jc w:val="both"/>
      </w:pPr>
      <w:r w:rsidRPr="00D93403">
        <w:t xml:space="preserve">Zamówienie będzie zrealizowane </w:t>
      </w:r>
      <w:r w:rsidR="002C71F3">
        <w:t xml:space="preserve">maksymalnie do dnia </w:t>
      </w:r>
      <w:r w:rsidR="004B2003">
        <w:t>2</w:t>
      </w:r>
      <w:r w:rsidR="00694EE0">
        <w:t>3</w:t>
      </w:r>
      <w:r w:rsidR="004B2003">
        <w:t>.06.2026 r.</w:t>
      </w:r>
      <w:r w:rsidRPr="00D93403">
        <w:t xml:space="preserve"> </w:t>
      </w:r>
    </w:p>
    <w:p w14:paraId="01D8ADBC" w14:textId="77777777" w:rsidR="00C506E5" w:rsidRPr="00D93403" w:rsidRDefault="00C506E5" w:rsidP="00C506E5">
      <w:pPr>
        <w:jc w:val="both"/>
        <w:rPr>
          <w:b/>
          <w:bCs/>
        </w:rPr>
      </w:pPr>
    </w:p>
    <w:p w14:paraId="708DA37E" w14:textId="77777777" w:rsidR="00C506E5" w:rsidRPr="00D93403" w:rsidRDefault="00C506E5" w:rsidP="00C506E5">
      <w:pPr>
        <w:jc w:val="both"/>
        <w:rPr>
          <w:b/>
          <w:bCs/>
        </w:rPr>
      </w:pPr>
    </w:p>
    <w:p w14:paraId="04C5FA56" w14:textId="77777777" w:rsidR="00C506E5" w:rsidRPr="00D93403" w:rsidRDefault="00C506E5" w:rsidP="00C506E5">
      <w:pPr>
        <w:jc w:val="both"/>
      </w:pPr>
      <w:r w:rsidRPr="00D93403"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3A216C77" w14:textId="77777777" w:rsidR="00C506E5" w:rsidRDefault="00C506E5" w:rsidP="00C506E5">
      <w:pPr>
        <w:rPr>
          <w:u w:val="single"/>
          <w:lang w:eastAsia="pl-PL"/>
        </w:rPr>
      </w:pPr>
      <w:r w:rsidRPr="00D93403">
        <w:rPr>
          <w:b/>
          <w:bCs/>
          <w:u w:val="single"/>
          <w:lang w:eastAsia="pl-PL"/>
        </w:rPr>
        <w:t>Termin płatności</w:t>
      </w:r>
      <w:r w:rsidRPr="00D93403">
        <w:rPr>
          <w:u w:val="single"/>
          <w:lang w:eastAsia="pl-PL"/>
        </w:rPr>
        <w:t>:</w:t>
      </w:r>
    </w:p>
    <w:p w14:paraId="7532E7C2" w14:textId="77777777" w:rsidR="00AE0753" w:rsidRPr="00D93403" w:rsidRDefault="00AE0753" w:rsidP="00C506E5">
      <w:pPr>
        <w:rPr>
          <w:u w:val="single"/>
          <w:lang w:eastAsia="pl-PL"/>
        </w:rPr>
      </w:pPr>
    </w:p>
    <w:p w14:paraId="2F4AE60D" w14:textId="77777777" w:rsidR="00C506E5" w:rsidRPr="00D93403" w:rsidRDefault="00C506E5" w:rsidP="00C506E5">
      <w:pPr>
        <w:rPr>
          <w:b/>
          <w:bCs/>
          <w:lang w:eastAsia="pl-PL"/>
        </w:rPr>
      </w:pPr>
      <w:r w:rsidRPr="00D93403">
        <w:rPr>
          <w:b/>
          <w:bCs/>
          <w:lang w:eastAsia="pl-PL"/>
        </w:rPr>
        <w:t>Zapłata nastąpi przelewem po wykonaniu przedmiotu umowy, w terminie wskazanym na fakturze nie krótszym niż 14 dni od daty wystawienia faktury</w:t>
      </w:r>
    </w:p>
    <w:p w14:paraId="67684BE0" w14:textId="77777777" w:rsidR="00C506E5" w:rsidRPr="00D93403" w:rsidRDefault="00C506E5" w:rsidP="00C506E5">
      <w:pPr>
        <w:spacing w:line="380" w:lineRule="exact"/>
        <w:rPr>
          <w:u w:val="single"/>
          <w:lang w:eastAsia="pl-PL"/>
        </w:rPr>
      </w:pPr>
    </w:p>
    <w:p w14:paraId="2733B156" w14:textId="77777777" w:rsidR="00C506E5" w:rsidRPr="00D93403" w:rsidRDefault="00C506E5" w:rsidP="00C506E5">
      <w:pPr>
        <w:jc w:val="both"/>
        <w:rPr>
          <w:lang w:eastAsia="pl-PL"/>
        </w:rPr>
      </w:pPr>
      <w:r w:rsidRPr="00D93403">
        <w:rPr>
          <w:lang w:eastAsia="pl-PL"/>
        </w:rPr>
        <w:t>Przelew zostanie dokonany na rachunek Wykonawcy, który jest zgodny z rachunkiem bankowym wskazanym w Wykazie podmiotów zarejestrowanych jako podatnicy VAT, niezarejestrowanych oraz wykreślonych i przywróconych do rejestru VAT. W przypadku wskazania rachunku bankowego niezgodnego z Wykazem, zapłata bez żądania odsetek za opóźnienie w zapłacie, nastąpi po wyjaśnieniu prawidłowości rachunku bankowego.</w:t>
      </w:r>
    </w:p>
    <w:p w14:paraId="0526E55F" w14:textId="77777777" w:rsidR="00C506E5" w:rsidRPr="00D93403" w:rsidRDefault="00C506E5" w:rsidP="00C506E5">
      <w:pPr>
        <w:shd w:val="clear" w:color="auto" w:fill="FFFFFF"/>
        <w:rPr>
          <w:color w:val="242424"/>
          <w:lang w:eastAsia="pl-PL"/>
        </w:rPr>
      </w:pPr>
      <w:r w:rsidRPr="00D93403">
        <w:rPr>
          <w:color w:val="242424"/>
          <w:bdr w:val="none" w:sz="0" w:space="0" w:color="auto" w:frame="1"/>
          <w:lang w:eastAsia="pl-PL"/>
        </w:rPr>
        <w:t>Zgodnie z art. 4c ustawy o przeciwdziałaniu nadmiernym opóźnieniom w transakcjach handlowych z dnia 8 marca 2013 r., Politechnika Morska w Szczecinie spełniając obowiązek nałożony przedmiotową ustawą niniejszym oświadcza, że posiada status dużego przedsiębiorcy w rozumieniu art. 4 pkt 6 ww. ustawy.</w:t>
      </w:r>
    </w:p>
    <w:p w14:paraId="403A18AC" w14:textId="77777777" w:rsidR="00C506E5" w:rsidRDefault="00C506E5" w:rsidP="00C506E5">
      <w:pPr>
        <w:pStyle w:val="NormalnyWeb"/>
        <w:rPr>
          <w:rFonts w:ascii="Times New Roman" w:hAnsi="Times New Roman" w:cs="Times New Roman"/>
          <w:b/>
          <w:bCs/>
        </w:rPr>
      </w:pPr>
    </w:p>
    <w:p w14:paraId="0FD149F1" w14:textId="77777777" w:rsidR="00C506E5" w:rsidRDefault="00C506E5" w:rsidP="00C506E5">
      <w:pPr>
        <w:pStyle w:val="NormalnyWeb"/>
        <w:rPr>
          <w:rFonts w:ascii="Times New Roman" w:hAnsi="Times New Roman" w:cs="Times New Roman"/>
          <w:b/>
          <w:bCs/>
        </w:rPr>
      </w:pPr>
    </w:p>
    <w:p w14:paraId="6971A65D" w14:textId="77777777" w:rsidR="00C506E5" w:rsidRPr="00D93403" w:rsidRDefault="00C506E5" w:rsidP="00C506E5">
      <w:pPr>
        <w:jc w:val="both"/>
        <w:rPr>
          <w:lang w:eastAsia="pl-PL"/>
        </w:rPr>
      </w:pPr>
    </w:p>
    <w:p w14:paraId="4808287C" w14:textId="77777777" w:rsidR="00C506E5" w:rsidRPr="00D93403" w:rsidRDefault="00C506E5" w:rsidP="00C506E5">
      <w:pPr>
        <w:rPr>
          <w:b/>
          <w:bCs/>
          <w:u w:val="single"/>
        </w:rPr>
      </w:pPr>
      <w:r w:rsidRPr="00D93403">
        <w:rPr>
          <w:b/>
          <w:bCs/>
          <w:u w:val="single"/>
        </w:rPr>
        <w:t>Opis przygotowania oferty:</w:t>
      </w:r>
    </w:p>
    <w:p w14:paraId="7C05E9B2" w14:textId="77777777" w:rsidR="00C506E5" w:rsidRPr="00D93403" w:rsidRDefault="00C506E5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D93403">
        <w:rPr>
          <w:rFonts w:ascii="Times New Roman" w:hAnsi="Times New Roman" w:cs="Times New Roman"/>
        </w:rPr>
        <w:t>Wartość cenową należy podać w złotych polskich cyfrą – z dokładnością do dwóch miejsc po przecinku oraz słownie.</w:t>
      </w:r>
    </w:p>
    <w:p w14:paraId="09E34AE7" w14:textId="77777777" w:rsidR="00C506E5" w:rsidRPr="00D93403" w:rsidRDefault="00C506E5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D93403">
        <w:rPr>
          <w:rFonts w:ascii="Times New Roman" w:hAnsi="Times New Roman" w:cs="Times New Roman"/>
        </w:rPr>
        <w:t xml:space="preserve"> Wszelkie rozliczenia pomiędzy Zamawiającym, a Wykonawcą odbywać się będą w złotych polskich. </w:t>
      </w:r>
    </w:p>
    <w:p w14:paraId="6FBD2F7F" w14:textId="77777777" w:rsidR="00C506E5" w:rsidRPr="00D93403" w:rsidRDefault="00C506E5" w:rsidP="00C506E5">
      <w:pPr>
        <w:autoSpaceDE w:val="0"/>
        <w:autoSpaceDN w:val="0"/>
        <w:spacing w:after="39"/>
      </w:pPr>
      <w:r w:rsidRPr="00D93403">
        <w:t xml:space="preserve">3. Całość zapytania ofertowego prowadzone jest w języku polskim. </w:t>
      </w:r>
    </w:p>
    <w:p w14:paraId="47D40217" w14:textId="77777777" w:rsidR="00C506E5" w:rsidRPr="00D93403" w:rsidRDefault="00C506E5" w:rsidP="00C506E5">
      <w:pPr>
        <w:autoSpaceDE w:val="0"/>
        <w:autoSpaceDN w:val="0"/>
        <w:jc w:val="both"/>
      </w:pPr>
      <w:r w:rsidRPr="00D93403">
        <w:t xml:space="preserve">4. Każdy oferent może złożyć tylko jedną ofertę cenową przygotowaną w języku polskim. </w:t>
      </w:r>
    </w:p>
    <w:p w14:paraId="2B60F603" w14:textId="77777777" w:rsidR="00C506E5" w:rsidRPr="00D93403" w:rsidRDefault="00C506E5" w:rsidP="00C506E5">
      <w:pPr>
        <w:autoSpaceDE w:val="0"/>
        <w:autoSpaceDN w:val="0"/>
        <w:ind w:left="284" w:hanging="284"/>
        <w:jc w:val="both"/>
      </w:pPr>
      <w:r w:rsidRPr="00D93403">
        <w:t xml:space="preserve">5. Cenę podaną w ofercie należy wpisać w sposób czytelny, wyrażając w polskich złotych uwzględniając wszystkie koszty związane z realizacją przedmiotu zamówienia. </w:t>
      </w:r>
    </w:p>
    <w:p w14:paraId="41CA99C5" w14:textId="77777777" w:rsidR="00C506E5" w:rsidRPr="00D93403" w:rsidRDefault="00C506E5" w:rsidP="00C506E5">
      <w:pPr>
        <w:autoSpaceDE w:val="0"/>
        <w:autoSpaceDN w:val="0"/>
        <w:jc w:val="both"/>
      </w:pPr>
      <w:r w:rsidRPr="00D93403">
        <w:t xml:space="preserve">7. Zamawiający nie dopuszcza składania ofert częściowych oraz wariantowych. </w:t>
      </w:r>
    </w:p>
    <w:p w14:paraId="1479FBC0" w14:textId="3BC3AD88" w:rsidR="00C506E5" w:rsidRPr="00D93403" w:rsidRDefault="00C506E5" w:rsidP="00C506E5">
      <w:pPr>
        <w:autoSpaceDE w:val="0"/>
        <w:spacing w:after="60"/>
        <w:ind w:left="284" w:hanging="284"/>
        <w:jc w:val="both"/>
      </w:pPr>
      <w:r w:rsidRPr="00D93403">
        <w:t xml:space="preserve">8. Podane przez Zamawiającego ewentualne nazwy (znaki towarowe), mają charakter przykładowy,  a ich wskazanie ma na celu określenie oczekiwanego standardu, przy czym Zamawiający dopuszcza składanie ofert równoważnych w zakresie sporządzonego opisu przedmiotu zamówienia. </w:t>
      </w:r>
    </w:p>
    <w:p w14:paraId="26BBBEC8" w14:textId="77777777" w:rsidR="00C506E5" w:rsidRPr="00D93403" w:rsidRDefault="00C506E5">
      <w:pPr>
        <w:pStyle w:val="Tekstpodstawowy3"/>
        <w:numPr>
          <w:ilvl w:val="0"/>
          <w:numId w:val="5"/>
        </w:numPr>
        <w:suppressAutoHyphens w:val="0"/>
        <w:spacing w:after="60"/>
        <w:ind w:left="284" w:hanging="284"/>
        <w:jc w:val="both"/>
        <w:rPr>
          <w:sz w:val="22"/>
          <w:szCs w:val="22"/>
        </w:rPr>
      </w:pPr>
      <w:r w:rsidRPr="00D93403">
        <w:rPr>
          <w:sz w:val="22"/>
          <w:szCs w:val="22"/>
        </w:rPr>
        <w:t xml:space="preserve">Przedmiot zamówienia określono poprzez wskazanie obiektywnych cech technicznych </w:t>
      </w:r>
      <w:r w:rsidRPr="00D93403">
        <w:rPr>
          <w:sz w:val="22"/>
          <w:szCs w:val="22"/>
        </w:rPr>
        <w:br/>
        <w:t xml:space="preserve">i jakościowych oraz standardów, dla których określenia dopuszcza się wskazanie przykładowych znaków towarowych. </w:t>
      </w:r>
    </w:p>
    <w:p w14:paraId="0B92C3D2" w14:textId="77777777" w:rsidR="00C506E5" w:rsidRPr="00D93403" w:rsidRDefault="00C506E5">
      <w:pPr>
        <w:pStyle w:val="Tekstpodstawowy3"/>
        <w:numPr>
          <w:ilvl w:val="0"/>
          <w:numId w:val="5"/>
        </w:numPr>
        <w:suppressAutoHyphens w:val="0"/>
        <w:spacing w:after="60"/>
        <w:ind w:left="284" w:hanging="284"/>
        <w:jc w:val="both"/>
        <w:rPr>
          <w:sz w:val="22"/>
          <w:szCs w:val="22"/>
        </w:rPr>
      </w:pPr>
      <w:r w:rsidRPr="00D93403">
        <w:rPr>
          <w:sz w:val="22"/>
          <w:szCs w:val="22"/>
        </w:rPr>
        <w:t xml:space="preserve">Wykonawca dołączy </w:t>
      </w:r>
      <w:r>
        <w:rPr>
          <w:sz w:val="22"/>
          <w:szCs w:val="22"/>
        </w:rPr>
        <w:t>podpisane oświadczenie do wysłanego emaila z odpowiedzią na rozeznanie</w:t>
      </w:r>
      <w:r w:rsidRPr="00D93403">
        <w:rPr>
          <w:sz w:val="22"/>
          <w:szCs w:val="22"/>
        </w:rPr>
        <w:t>.</w:t>
      </w:r>
    </w:p>
    <w:p w14:paraId="186EF581" w14:textId="77777777" w:rsidR="00C506E5" w:rsidRPr="00D93403" w:rsidRDefault="00C506E5" w:rsidP="00C506E5">
      <w:pPr>
        <w:autoSpaceDE w:val="0"/>
        <w:autoSpaceDN w:val="0"/>
        <w:jc w:val="both"/>
        <w:rPr>
          <w:b/>
          <w:bCs/>
        </w:rPr>
      </w:pPr>
    </w:p>
    <w:p w14:paraId="73CD21C3" w14:textId="77777777" w:rsidR="00C506E5" w:rsidRDefault="00C506E5" w:rsidP="00C506E5">
      <w:pPr>
        <w:jc w:val="both"/>
      </w:pPr>
    </w:p>
    <w:p w14:paraId="12D22A57" w14:textId="77777777" w:rsidR="003D3ABC" w:rsidRPr="00D93403" w:rsidRDefault="003D3ABC" w:rsidP="00C506E5">
      <w:pPr>
        <w:jc w:val="both"/>
      </w:pPr>
    </w:p>
    <w:p w14:paraId="1F95361F" w14:textId="77777777" w:rsidR="00C506E5" w:rsidRPr="00D93403" w:rsidRDefault="00C506E5" w:rsidP="00C506E5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D93403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Miejsce oraz termin składania ofert:</w:t>
      </w:r>
    </w:p>
    <w:p w14:paraId="3A49F58A" w14:textId="77777777" w:rsidR="00C506E5" w:rsidRPr="00D93403" w:rsidRDefault="00C506E5">
      <w:pPr>
        <w:pStyle w:val="Akapitzlist"/>
        <w:numPr>
          <w:ilvl w:val="0"/>
          <w:numId w:val="6"/>
        </w:numPr>
        <w:spacing w:line="276" w:lineRule="auto"/>
        <w:ind w:left="357"/>
        <w:jc w:val="both"/>
        <w:rPr>
          <w:rFonts w:ascii="Times New Roman" w:hAnsi="Times New Roman" w:cs="Times New Roman"/>
        </w:rPr>
      </w:pPr>
      <w:r w:rsidRPr="00D93403">
        <w:rPr>
          <w:rFonts w:ascii="Times New Roman" w:hAnsi="Times New Roman" w:cs="Times New Roman"/>
        </w:rPr>
        <w:t xml:space="preserve">Złożenie oferty cenowej nie jest równoznaczne ze złożeniem zamówienia przez Zamawiającego i nie łączy się z koniecznością zawarcia przez niego umowy. </w:t>
      </w:r>
    </w:p>
    <w:p w14:paraId="425D8467" w14:textId="2E14A0DD" w:rsidR="00C506E5" w:rsidRPr="00D93403" w:rsidRDefault="00C506E5">
      <w:pPr>
        <w:pStyle w:val="Akapitzlist"/>
        <w:numPr>
          <w:ilvl w:val="0"/>
          <w:numId w:val="6"/>
        </w:numPr>
        <w:spacing w:line="276" w:lineRule="auto"/>
        <w:ind w:left="357"/>
        <w:jc w:val="both"/>
        <w:rPr>
          <w:rFonts w:ascii="Times New Roman" w:hAnsi="Times New Roman" w:cs="Times New Roman"/>
          <w:b/>
          <w:bCs/>
        </w:rPr>
      </w:pPr>
      <w:r w:rsidRPr="00D93403">
        <w:rPr>
          <w:rFonts w:ascii="Times New Roman" w:hAnsi="Times New Roman" w:cs="Times New Roman"/>
          <w:b/>
          <w:bCs/>
        </w:rPr>
        <w:t>Zamawiający oczekuje odpowiedzi – złożenia oferty - w terminie do dnia </w:t>
      </w:r>
      <w:r w:rsidR="00B86D09">
        <w:rPr>
          <w:rFonts w:ascii="Times New Roman" w:hAnsi="Times New Roman" w:cs="Times New Roman"/>
          <w:b/>
          <w:bCs/>
        </w:rPr>
        <w:t>08.06.</w:t>
      </w:r>
      <w:r w:rsidRPr="00D93403">
        <w:rPr>
          <w:rFonts w:ascii="Times New Roman" w:hAnsi="Times New Roman" w:cs="Times New Roman"/>
          <w:b/>
          <w:bCs/>
        </w:rPr>
        <w:t>202</w:t>
      </w:r>
      <w:r w:rsidR="003D3ABC">
        <w:rPr>
          <w:rFonts w:ascii="Times New Roman" w:hAnsi="Times New Roman" w:cs="Times New Roman"/>
          <w:b/>
          <w:bCs/>
        </w:rPr>
        <w:t>6</w:t>
      </w:r>
      <w:r w:rsidRPr="00D93403">
        <w:rPr>
          <w:rFonts w:ascii="Times New Roman" w:hAnsi="Times New Roman" w:cs="Times New Roman"/>
          <w:b/>
          <w:bCs/>
        </w:rPr>
        <w:t xml:space="preserve"> roku na adres mailowy </w:t>
      </w:r>
      <w:hyperlink r:id="rId12" w:history="1">
        <w:r w:rsidRPr="00D93403">
          <w:rPr>
            <w:rStyle w:val="Hipercze"/>
            <w:rFonts w:ascii="Times New Roman" w:hAnsi="Times New Roman" w:cs="Times New Roman"/>
            <w:b/>
            <w:bCs/>
          </w:rPr>
          <w:t>k.perec@pm.szczecin.pl</w:t>
        </w:r>
      </w:hyperlink>
      <w:r w:rsidRPr="00D93403">
        <w:rPr>
          <w:rFonts w:ascii="Times New Roman" w:hAnsi="Times New Roman" w:cs="Times New Roman"/>
          <w:b/>
          <w:bCs/>
        </w:rPr>
        <w:t xml:space="preserve"> </w:t>
      </w:r>
      <w:r w:rsidRPr="00D93403">
        <w:rPr>
          <w:rFonts w:ascii="Times New Roman" w:hAnsi="Times New Roman" w:cs="Times New Roman"/>
        </w:rPr>
        <w:t xml:space="preserve">z uwagi na fakt gromadzenia odpowiedniej ilości ofert, niezbędnych w procedurze Politechniki Morskiej w Szczecinie. </w:t>
      </w:r>
    </w:p>
    <w:p w14:paraId="18AD3205" w14:textId="77777777" w:rsidR="00C506E5" w:rsidRPr="00D93403" w:rsidRDefault="00C506E5" w:rsidP="00C506E5">
      <w:pPr>
        <w:pStyle w:val="Default"/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93403">
        <w:rPr>
          <w:rFonts w:ascii="Times New Roman" w:hAnsi="Times New Roman" w:cs="Times New Roman"/>
          <w:color w:val="auto"/>
          <w:sz w:val="22"/>
          <w:szCs w:val="22"/>
        </w:rPr>
        <w:t>c.</w:t>
      </w:r>
      <w:r w:rsidRPr="00D9340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   </w:t>
      </w:r>
      <w:r w:rsidRPr="00D93403">
        <w:rPr>
          <w:rFonts w:ascii="Times New Roman" w:hAnsi="Times New Roman" w:cs="Times New Roman"/>
          <w:color w:val="auto"/>
          <w:sz w:val="22"/>
          <w:szCs w:val="22"/>
        </w:rPr>
        <w:t xml:space="preserve">Oferty złożone po terminie nie będą rozpatrywane. </w:t>
      </w:r>
    </w:p>
    <w:p w14:paraId="4764B20C" w14:textId="77777777" w:rsidR="00C506E5" w:rsidRPr="00D93403" w:rsidRDefault="00C506E5" w:rsidP="00C506E5">
      <w:pPr>
        <w:pStyle w:val="Default"/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93403">
        <w:rPr>
          <w:rFonts w:ascii="Times New Roman" w:hAnsi="Times New Roman" w:cs="Times New Roman"/>
          <w:color w:val="auto"/>
          <w:sz w:val="22"/>
          <w:szCs w:val="22"/>
        </w:rPr>
        <w:t xml:space="preserve">d.   Wykonawca może przed upływem terminu składania ofert zmienić lub wycofać swoją ofertę. </w:t>
      </w:r>
    </w:p>
    <w:p w14:paraId="7D0F5417" w14:textId="77777777" w:rsidR="00C506E5" w:rsidRPr="00D93403" w:rsidRDefault="00C506E5" w:rsidP="00C506E5">
      <w:pPr>
        <w:pStyle w:val="Default"/>
        <w:ind w:left="357" w:hanging="426"/>
        <w:jc w:val="both"/>
        <w:rPr>
          <w:rFonts w:ascii="Times New Roman" w:hAnsi="Times New Roman" w:cs="Times New Roman"/>
          <w:sz w:val="22"/>
          <w:szCs w:val="22"/>
        </w:rPr>
      </w:pPr>
      <w:r w:rsidRPr="00D93403">
        <w:rPr>
          <w:rFonts w:ascii="Times New Roman" w:hAnsi="Times New Roman" w:cs="Times New Roman"/>
          <w:color w:val="auto"/>
          <w:sz w:val="22"/>
          <w:szCs w:val="22"/>
        </w:rPr>
        <w:t> e.  W toku badania i oceny ofert Zamawiający może żądać od oferentów wyjaśnień/uzupełnienia braków/korekt błędów</w:t>
      </w:r>
      <w:r w:rsidRPr="00D93403">
        <w:rPr>
          <w:rStyle w:val="Odwoaniedokomentarza"/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</w:t>
      </w:r>
      <w:r w:rsidRPr="00D93403">
        <w:rPr>
          <w:rFonts w:ascii="Times New Roman" w:hAnsi="Times New Roman" w:cs="Times New Roman"/>
          <w:color w:val="auto"/>
          <w:sz w:val="22"/>
          <w:szCs w:val="22"/>
        </w:rPr>
        <w:t>dotyczących treści złożonych ofert, wyznaczając w tym celu odpowiedni termin i zakres wymaganych wyjaśnień.</w:t>
      </w:r>
      <w:r w:rsidRPr="00D93403">
        <w:rPr>
          <w:rFonts w:ascii="Times New Roman" w:hAnsi="Times New Roman" w:cs="Times New Roman"/>
          <w:sz w:val="22"/>
          <w:szCs w:val="22"/>
        </w:rPr>
        <w:t xml:space="preserve"> Niedotrzymanie wyznaczonego terminu będzie skutkowało odrzuceniem oferty.</w:t>
      </w:r>
    </w:p>
    <w:p w14:paraId="5019FF79" w14:textId="77777777" w:rsidR="00C506E5" w:rsidRPr="00D93403" w:rsidRDefault="00C506E5" w:rsidP="00C506E5">
      <w:pPr>
        <w:jc w:val="both"/>
      </w:pPr>
    </w:p>
    <w:p w14:paraId="106AAE62" w14:textId="77777777" w:rsidR="00C506E5" w:rsidRPr="00D93403" w:rsidRDefault="00C506E5" w:rsidP="00C506E5">
      <w:pPr>
        <w:jc w:val="both"/>
      </w:pPr>
    </w:p>
    <w:p w14:paraId="67B0AEE1" w14:textId="77777777" w:rsidR="00C506E5" w:rsidRPr="00D93403" w:rsidRDefault="00C506E5" w:rsidP="00C506E5">
      <w:pPr>
        <w:jc w:val="both"/>
      </w:pPr>
    </w:p>
    <w:p w14:paraId="0031E04F" w14:textId="77777777" w:rsidR="00C506E5" w:rsidRPr="00D93403" w:rsidRDefault="00C506E5" w:rsidP="00C506E5">
      <w:pPr>
        <w:jc w:val="both"/>
      </w:pPr>
      <w:r w:rsidRPr="00D93403">
        <w:t xml:space="preserve">Złożenie oferty jest równoznaczne z oświadczeniem oferenta o niepodleganiu wykluczeniu z postępowania na podstawie art. 7 ust. 1 ustawy z dnia 13 kwietnia 2022 r. o ochronie szczególnych rozwiązaniach w zakresie przeciwdziałania wspieraniu agresji na Ukrainę oraz </w:t>
      </w:r>
      <w:r w:rsidRPr="00D93403">
        <w:lastRenderedPageBreak/>
        <w:t>służących ochronie bezpieczeństwa narodowego (Dz. U. 2024 poz. 507) na dzień składania ofert.</w:t>
      </w:r>
    </w:p>
    <w:p w14:paraId="1476DFC3" w14:textId="77777777" w:rsidR="00C506E5" w:rsidRPr="00D93403" w:rsidRDefault="00C506E5" w:rsidP="00C506E5">
      <w:pPr>
        <w:jc w:val="both"/>
      </w:pPr>
    </w:p>
    <w:p w14:paraId="2F730400" w14:textId="77777777" w:rsidR="00C506E5" w:rsidRPr="00D93403" w:rsidRDefault="00C506E5" w:rsidP="00C506E5">
      <w:pPr>
        <w:jc w:val="both"/>
      </w:pPr>
    </w:p>
    <w:p w14:paraId="6A6D32C5" w14:textId="77777777" w:rsidR="00C506E5" w:rsidRPr="00D93403" w:rsidRDefault="00C506E5" w:rsidP="00C506E5">
      <w:pPr>
        <w:pStyle w:val="Default"/>
        <w:ind w:left="357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A419983" w14:textId="77777777" w:rsidR="00C506E5" w:rsidRPr="00D93403" w:rsidRDefault="00C506E5" w:rsidP="00C506E5">
      <w:pPr>
        <w:spacing w:line="276" w:lineRule="auto"/>
        <w:jc w:val="both"/>
        <w:rPr>
          <w:b/>
          <w:bCs/>
          <w:u w:val="single"/>
        </w:rPr>
      </w:pPr>
    </w:p>
    <w:p w14:paraId="41AB30A6" w14:textId="77777777" w:rsidR="00C506E5" w:rsidRPr="00D93403" w:rsidRDefault="00C506E5" w:rsidP="00C506E5">
      <w:pPr>
        <w:spacing w:line="276" w:lineRule="auto"/>
        <w:jc w:val="both"/>
        <w:rPr>
          <w:b/>
          <w:bCs/>
          <w:u w:val="single"/>
        </w:rPr>
      </w:pPr>
      <w:r w:rsidRPr="00D93403">
        <w:rPr>
          <w:b/>
          <w:bCs/>
          <w:u w:val="single"/>
        </w:rPr>
        <w:t>Oferty będą oceniane według kryterium:</w:t>
      </w:r>
    </w:p>
    <w:p w14:paraId="5F762619" w14:textId="77777777" w:rsidR="00C506E5" w:rsidRPr="00D93403" w:rsidRDefault="00C506E5" w:rsidP="00C506E5">
      <w:pPr>
        <w:pStyle w:val="HTML-wstpniesformatowany"/>
        <w:rPr>
          <w:rFonts w:ascii="Times New Roman" w:hAnsi="Times New Roman" w:cs="Times New Roman"/>
          <w:sz w:val="22"/>
          <w:szCs w:val="22"/>
        </w:rPr>
      </w:pPr>
      <w:r w:rsidRPr="00D93403">
        <w:rPr>
          <w:rFonts w:ascii="Times New Roman" w:hAnsi="Times New Roman" w:cs="Times New Roman"/>
          <w:sz w:val="22"/>
          <w:szCs w:val="22"/>
        </w:rPr>
        <w:t xml:space="preserve">Cena -  100% </w:t>
      </w:r>
    </w:p>
    <w:p w14:paraId="52A06619" w14:textId="77777777" w:rsidR="00C506E5" w:rsidRPr="00D93403" w:rsidRDefault="00C506E5" w:rsidP="00C506E5">
      <w:pPr>
        <w:pStyle w:val="HTML-wstpniesformatowany"/>
        <w:rPr>
          <w:rFonts w:ascii="Times New Roman" w:hAnsi="Times New Roman" w:cs="Times New Roman"/>
          <w:sz w:val="22"/>
          <w:szCs w:val="22"/>
        </w:rPr>
      </w:pPr>
    </w:p>
    <w:p w14:paraId="6E799ED4" w14:textId="77777777" w:rsidR="00C506E5" w:rsidRPr="00D93403" w:rsidRDefault="00C506E5" w:rsidP="00C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D93403">
        <w:rPr>
          <w:b/>
          <w:bCs/>
        </w:rPr>
        <w:t xml:space="preserve">Niniejsze zapytanie nie stanowi oferty w rozumieniu art. 66 § 1 Kodeksu Cywilnego z 23.04.1964r. (Dz. U. z 2023 r., poz. 1610 z późn. zm.), dalej KC, ani zaproszenia do zawarcia umowy  w rozumieniu art. 71 KC. </w:t>
      </w:r>
    </w:p>
    <w:p w14:paraId="4ACF0B60" w14:textId="77777777" w:rsidR="00C506E5" w:rsidRPr="00D93403" w:rsidRDefault="00C506E5" w:rsidP="00C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b/>
          <w:bCs/>
        </w:rPr>
      </w:pPr>
    </w:p>
    <w:p w14:paraId="03F42C22" w14:textId="77777777" w:rsidR="00C506E5" w:rsidRPr="00D93403" w:rsidRDefault="00C506E5" w:rsidP="00C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14:paraId="494DC80D" w14:textId="77777777" w:rsidR="00C506E5" w:rsidRPr="00D93403" w:rsidRDefault="00C506E5" w:rsidP="00C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u w:val="single"/>
          <w:lang w:eastAsia="pl-PL"/>
        </w:rPr>
      </w:pPr>
      <w:r w:rsidRPr="00D93403">
        <w:rPr>
          <w:b/>
          <w:bCs/>
          <w:u w:val="single"/>
          <w:lang w:eastAsia="pl-PL"/>
        </w:rPr>
        <w:t xml:space="preserve">Warunki zmiany, odwołania i unieważnienia zapytania </w:t>
      </w:r>
    </w:p>
    <w:p w14:paraId="4800814D" w14:textId="77777777" w:rsidR="00C506E5" w:rsidRPr="00D93403" w:rsidRDefault="00C506E5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hanging="426"/>
        <w:jc w:val="both"/>
        <w:rPr>
          <w:rFonts w:ascii="Times New Roman" w:hAnsi="Times New Roman" w:cs="Times New Roman"/>
          <w:lang w:eastAsia="pl-PL"/>
        </w:rPr>
      </w:pPr>
      <w:r w:rsidRPr="00D93403">
        <w:rPr>
          <w:rFonts w:ascii="Times New Roman" w:hAnsi="Times New Roman" w:cs="Times New Roman"/>
        </w:rPr>
        <w:t>Zamawiający zastrzega sobie prawo dokonywania zmian warunków lub terminów zapytania ofertowego, a także jego odwołania lub unieważnienia oraz zakończenie zapytania bez wyboru ofert, w szczególności, gdy:</w:t>
      </w:r>
    </w:p>
    <w:p w14:paraId="566D33FF" w14:textId="77777777" w:rsidR="00C506E5" w:rsidRPr="00D93403" w:rsidRDefault="00C506E5">
      <w:pPr>
        <w:pStyle w:val="Akapitzlist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D93403">
        <w:rPr>
          <w:rFonts w:ascii="Times New Roman" w:hAnsi="Times New Roman" w:cs="Times New Roman"/>
        </w:rPr>
        <w:t>cena najkorzystniejszej oferty przekroczy kwotę przeznaczoną na finansowanie zamówienia,</w:t>
      </w:r>
    </w:p>
    <w:p w14:paraId="3670B35A" w14:textId="77777777" w:rsidR="00C506E5" w:rsidRPr="00D93403" w:rsidRDefault="00C506E5">
      <w:pPr>
        <w:pStyle w:val="Akapitzlist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D93403">
        <w:rPr>
          <w:rFonts w:ascii="Times New Roman" w:hAnsi="Times New Roman" w:cs="Times New Roman"/>
        </w:rPr>
        <w:t>w przypadku rozwiązania umowy o dofinansowanie przez NCBiR, co skutkowałoby nieprzyznaniem środków dotacyjnych, które miały być przeznaczone na sfinansowanie zamówienia,</w:t>
      </w:r>
    </w:p>
    <w:p w14:paraId="1C9D44E3" w14:textId="77777777" w:rsidR="00C506E5" w:rsidRPr="00D93403" w:rsidRDefault="00C506E5">
      <w:pPr>
        <w:pStyle w:val="Akapitzlist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D93403">
        <w:rPr>
          <w:rFonts w:ascii="Times New Roman" w:hAnsi="Times New Roman" w:cs="Times New Roman"/>
        </w:rPr>
        <w:t>wystąpiła istotna zmiana okoliczności powodująca, że prowadzenie zapytania lub wykonanie zamówienia nie leży w interesie publicznym lub prywatnym Zamawiającego, czego nie można było wcześniej przewidzieć,</w:t>
      </w:r>
    </w:p>
    <w:p w14:paraId="58686CFD" w14:textId="77777777" w:rsidR="00C506E5" w:rsidRPr="00D93403" w:rsidRDefault="00C506E5">
      <w:pPr>
        <w:pStyle w:val="Akapitzlist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D93403">
        <w:rPr>
          <w:rFonts w:ascii="Times New Roman" w:hAnsi="Times New Roman" w:cs="Times New Roman"/>
        </w:rPr>
        <w:t>zapytanie obarczone jest niemożliwą do usunięcia wadą uniemożliwiającą zawarcie ważnej umowy w sprawie zamówienia,</w:t>
      </w:r>
    </w:p>
    <w:p w14:paraId="392A0C6A" w14:textId="77777777" w:rsidR="00C506E5" w:rsidRPr="00D93403" w:rsidRDefault="00C506E5">
      <w:pPr>
        <w:pStyle w:val="Akapitzlist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D93403">
        <w:rPr>
          <w:rFonts w:ascii="Times New Roman" w:hAnsi="Times New Roman" w:cs="Times New Roman"/>
        </w:rPr>
        <w:t>Zamawiający zastrzega sobie prawo do unieważnienia zapytania z istotnych powodów,</w:t>
      </w:r>
    </w:p>
    <w:p w14:paraId="1D2B0491" w14:textId="77777777" w:rsidR="00C506E5" w:rsidRPr="00D93403" w:rsidRDefault="00C506E5">
      <w:pPr>
        <w:pStyle w:val="Akapitzlist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D93403">
        <w:rPr>
          <w:rFonts w:ascii="Times New Roman" w:hAnsi="Times New Roman" w:cs="Times New Roman"/>
        </w:rPr>
        <w:t>Zamawiający zastrzega sobie prawo do unieważnienia zapytania bez podania przyczyny.</w:t>
      </w:r>
    </w:p>
    <w:p w14:paraId="165B0226" w14:textId="77777777" w:rsidR="00C506E5" w:rsidRPr="00D93403" w:rsidRDefault="00C506E5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D93403">
        <w:rPr>
          <w:rFonts w:ascii="Times New Roman" w:hAnsi="Times New Roman" w:cs="Times New Roman"/>
        </w:rPr>
        <w:t>W przypadku unieważnienia zapytania, Zamawiający nie ponosi kosztów postępowania oraz nie jest zobowiązany do zwrotu jakichkolwiek kosztów na rzecz Dostawców.</w:t>
      </w:r>
    </w:p>
    <w:p w14:paraId="3C6E2C9E" w14:textId="77777777" w:rsidR="00C506E5" w:rsidRPr="00D93403" w:rsidRDefault="00C506E5" w:rsidP="00C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14:paraId="69B287CE" w14:textId="77777777" w:rsidR="00C506E5" w:rsidRPr="00D93403" w:rsidRDefault="00C506E5" w:rsidP="00C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</w:pPr>
      <w:r w:rsidRPr="00D93403">
        <w:t xml:space="preserve">Osobą upoważnioną do kontaktu w sprawie niniejszego zapytania jest: </w:t>
      </w:r>
    </w:p>
    <w:p w14:paraId="0110E4F3" w14:textId="77777777" w:rsidR="00C506E5" w:rsidRPr="00D93403" w:rsidRDefault="00C506E5" w:rsidP="00C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rStyle w:val="Hipercze"/>
        </w:rPr>
      </w:pPr>
      <w:r w:rsidRPr="00ED7202">
        <w:t xml:space="preserve">Kamila Perec- tel. 91 48-09-308, e-mail: </w:t>
      </w:r>
      <w:hyperlink r:id="rId13" w:history="1">
        <w:r w:rsidRPr="00ED7202">
          <w:rPr>
            <w:rStyle w:val="Hipercze"/>
          </w:rPr>
          <w:t>k.perec@pm.szczecin.pl</w:t>
        </w:r>
      </w:hyperlink>
    </w:p>
    <w:p w14:paraId="002BDC1A" w14:textId="77777777" w:rsidR="00C506E5" w:rsidRPr="00D93403" w:rsidRDefault="00C506E5" w:rsidP="00C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2" w:lineRule="auto"/>
        <w:rPr>
          <w:lang w:eastAsia="pl-PL"/>
        </w:rPr>
      </w:pPr>
    </w:p>
    <w:p w14:paraId="43BAE391" w14:textId="77777777" w:rsidR="00C506E5" w:rsidRPr="00D93403" w:rsidRDefault="00C506E5" w:rsidP="00C506E5"/>
    <w:p w14:paraId="48F46A3B" w14:textId="77777777" w:rsidR="00FD3362" w:rsidRDefault="00FD3362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24A16E56" w14:textId="77777777" w:rsidR="00F51289" w:rsidRDefault="00F51289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5483428C" w14:textId="77777777" w:rsidR="00F51289" w:rsidRDefault="00F51289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0E7563C2" w14:textId="7BEAC5F3" w:rsidR="001941D8" w:rsidRPr="00E461C5" w:rsidRDefault="00823CF3" w:rsidP="00FD3362">
      <w:pPr>
        <w:suppressAutoHyphens w:val="0"/>
        <w:spacing w:after="160" w:line="259" w:lineRule="auto"/>
        <w:ind w:left="708" w:firstLine="70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</w:t>
      </w:r>
      <w:r w:rsidR="001941D8" w:rsidRPr="00E461C5">
        <w:rPr>
          <w:b/>
          <w:color w:val="000000" w:themeColor="text1"/>
          <w:sz w:val="22"/>
          <w:szCs w:val="22"/>
          <w:lang w:eastAsia="pl-PL"/>
        </w:rPr>
        <w:t xml:space="preserve">ZAŁĄCZNIK NR </w:t>
      </w:r>
      <w:r w:rsidR="00476E5A">
        <w:rPr>
          <w:b/>
          <w:color w:val="000000" w:themeColor="text1"/>
          <w:sz w:val="22"/>
          <w:szCs w:val="22"/>
          <w:lang w:eastAsia="pl-PL"/>
        </w:rPr>
        <w:t>1</w:t>
      </w:r>
      <w:r w:rsidR="001941D8" w:rsidRPr="00E461C5">
        <w:rPr>
          <w:b/>
          <w:color w:val="000000" w:themeColor="text1"/>
          <w:sz w:val="22"/>
          <w:szCs w:val="22"/>
          <w:lang w:eastAsia="pl-PL"/>
        </w:rPr>
        <w:t xml:space="preserve"> DO ZAPYTANIA OFERTOWEGO </w:t>
      </w:r>
    </w:p>
    <w:p w14:paraId="6C9ACC89" w14:textId="77777777" w:rsidR="00AB61A6" w:rsidRPr="00E461C5" w:rsidRDefault="00AB61A6" w:rsidP="00AB61A6">
      <w:pPr>
        <w:spacing w:line="360" w:lineRule="auto"/>
        <w:jc w:val="right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…………………………………………………………</w:t>
      </w:r>
    </w:p>
    <w:p w14:paraId="09A58EEC" w14:textId="77777777" w:rsidR="00AB61A6" w:rsidRPr="00E461C5" w:rsidRDefault="00AB61A6" w:rsidP="00AB61A6">
      <w:pPr>
        <w:spacing w:line="360" w:lineRule="auto"/>
        <w:jc w:val="right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Miejscowość, data</w:t>
      </w:r>
    </w:p>
    <w:p w14:paraId="2F689D9F" w14:textId="77777777" w:rsidR="00AB61A6" w:rsidRPr="00E461C5" w:rsidRDefault="00AB61A6" w:rsidP="00AB61A6">
      <w:pPr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Nazwa i adres oferenta oraz dane rejestrowe, w tym NIP:</w:t>
      </w:r>
    </w:p>
    <w:p w14:paraId="5B73A4D7" w14:textId="77777777" w:rsidR="00AB61A6" w:rsidRPr="00E461C5" w:rsidRDefault="00AB61A6" w:rsidP="00AB61A6">
      <w:pPr>
        <w:jc w:val="both"/>
        <w:rPr>
          <w:color w:val="000000" w:themeColor="text1"/>
          <w:sz w:val="22"/>
          <w:szCs w:val="22"/>
          <w:lang w:eastAsia="pl-PL"/>
        </w:rPr>
      </w:pPr>
    </w:p>
    <w:p w14:paraId="7E87C244" w14:textId="77777777" w:rsidR="00AB61A6" w:rsidRPr="00E461C5" w:rsidRDefault="00AB61A6" w:rsidP="00AB61A6">
      <w:pPr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…………………………………</w:t>
      </w:r>
    </w:p>
    <w:p w14:paraId="0C19AFF8" w14:textId="77777777" w:rsidR="00DF2AA2" w:rsidRPr="00E461C5" w:rsidRDefault="00DF2AA2" w:rsidP="00AB61A6">
      <w:pPr>
        <w:jc w:val="both"/>
        <w:rPr>
          <w:color w:val="000000" w:themeColor="text1"/>
          <w:sz w:val="22"/>
          <w:szCs w:val="22"/>
          <w:lang w:eastAsia="pl-PL"/>
        </w:rPr>
      </w:pPr>
    </w:p>
    <w:p w14:paraId="393495B4" w14:textId="77777777" w:rsidR="00AB61A6" w:rsidRPr="00E461C5" w:rsidRDefault="00AB61A6" w:rsidP="00AB61A6">
      <w:pPr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…………………………………</w:t>
      </w:r>
    </w:p>
    <w:p w14:paraId="2669F4D5" w14:textId="77777777" w:rsidR="00DF2AA2" w:rsidRPr="00E461C5" w:rsidRDefault="00DF2AA2" w:rsidP="00AB61A6">
      <w:pPr>
        <w:jc w:val="both"/>
        <w:rPr>
          <w:color w:val="000000" w:themeColor="text1"/>
          <w:sz w:val="22"/>
          <w:szCs w:val="22"/>
          <w:lang w:eastAsia="pl-PL"/>
        </w:rPr>
      </w:pPr>
    </w:p>
    <w:p w14:paraId="315FDC8E" w14:textId="77777777" w:rsidR="00AB61A6" w:rsidRPr="00E461C5" w:rsidRDefault="00AB61A6" w:rsidP="00AB61A6">
      <w:pPr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…………………………………</w:t>
      </w:r>
    </w:p>
    <w:p w14:paraId="459CF5F9" w14:textId="77777777" w:rsidR="00AB61A6" w:rsidRPr="00E461C5" w:rsidRDefault="00AB61A6" w:rsidP="00AB61A6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eastAsia="pl-PL"/>
        </w:rPr>
      </w:pPr>
    </w:p>
    <w:p w14:paraId="319528C0" w14:textId="77777777" w:rsidR="00AB61A6" w:rsidRPr="00E461C5" w:rsidRDefault="00AB61A6" w:rsidP="00AB61A6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eastAsia="pl-PL"/>
        </w:rPr>
      </w:pPr>
    </w:p>
    <w:p w14:paraId="424918AE" w14:textId="77777777" w:rsidR="00AB61A6" w:rsidRPr="00E461C5" w:rsidRDefault="00AB61A6" w:rsidP="00AB61A6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  <w:lang w:eastAsia="pl-PL"/>
        </w:rPr>
      </w:pPr>
      <w:r w:rsidRPr="00E461C5">
        <w:rPr>
          <w:b/>
          <w:color w:val="000000" w:themeColor="text1"/>
          <w:sz w:val="22"/>
          <w:szCs w:val="22"/>
          <w:lang w:eastAsia="pl-PL"/>
        </w:rPr>
        <w:t>Oświadczenie o braku powiązań kapitałowych i osobowych</w:t>
      </w:r>
    </w:p>
    <w:p w14:paraId="09449744" w14:textId="77777777" w:rsidR="00AB61A6" w:rsidRPr="00E461C5" w:rsidRDefault="00AB61A6" w:rsidP="00AB61A6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  <w:lang w:eastAsia="pl-PL"/>
        </w:rPr>
      </w:pPr>
    </w:p>
    <w:p w14:paraId="276BCD31" w14:textId="77777777" w:rsidR="00AB61A6" w:rsidRPr="00E461C5" w:rsidRDefault="00AB61A6" w:rsidP="00AB61A6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eastAsia="pl-PL"/>
        </w:rPr>
      </w:pPr>
    </w:p>
    <w:p w14:paraId="6DABA132" w14:textId="299D2092" w:rsidR="00AB61A6" w:rsidRPr="00E461C5" w:rsidRDefault="00AB61A6" w:rsidP="00315D2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Oświadczam,</w:t>
      </w:r>
      <w:r w:rsidR="00DF2AA2" w:rsidRPr="00E461C5">
        <w:rPr>
          <w:color w:val="000000" w:themeColor="text1"/>
          <w:sz w:val="22"/>
          <w:szCs w:val="22"/>
          <w:lang w:eastAsia="pl-PL"/>
        </w:rPr>
        <w:t xml:space="preserve"> </w:t>
      </w:r>
      <w:r w:rsidRPr="00E461C5">
        <w:rPr>
          <w:color w:val="000000" w:themeColor="text1"/>
          <w:sz w:val="22"/>
          <w:szCs w:val="22"/>
          <w:lang w:eastAsia="pl-PL"/>
        </w:rPr>
        <w:t>że</w:t>
      </w:r>
      <w:r w:rsidR="00DF2AA2" w:rsidRPr="00E461C5">
        <w:rPr>
          <w:color w:val="000000" w:themeColor="text1"/>
          <w:sz w:val="22"/>
          <w:szCs w:val="22"/>
          <w:lang w:eastAsia="pl-PL"/>
        </w:rPr>
        <w:t xml:space="preserve"> </w:t>
      </w:r>
      <w:r w:rsidRPr="00E461C5">
        <w:rPr>
          <w:color w:val="000000" w:themeColor="text1"/>
          <w:sz w:val="22"/>
          <w:szCs w:val="22"/>
          <w:lang w:eastAsia="pl-PL"/>
        </w:rPr>
        <w:t>…………………………………………………………………………(dane Oferenta) nie jest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6C53F78B" w14:textId="77777777" w:rsidR="00AB61A6" w:rsidRPr="00E461C5" w:rsidRDefault="00AB61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Times New Roman" w:hAnsi="Times New Roman" w:cs="Times New Roman"/>
          <w:color w:val="000000" w:themeColor="text1"/>
          <w:lang w:eastAsia="pl-PL"/>
        </w:rPr>
        <w:t>uczestniczeniu w spółce jako wspólnik spółki cywilnej lub spółki osobowej,</w:t>
      </w:r>
    </w:p>
    <w:p w14:paraId="6C4C7D6A" w14:textId="77777777" w:rsidR="00AB61A6" w:rsidRPr="00E461C5" w:rsidRDefault="00AB61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Times New Roman" w:hAnsi="Times New Roman" w:cs="Times New Roman"/>
          <w:color w:val="000000" w:themeColor="text1"/>
          <w:lang w:eastAsia="pl-PL"/>
        </w:rPr>
        <w:t>posiadaniu udziałów lub co najmniej 10% akcji,</w:t>
      </w:r>
    </w:p>
    <w:p w14:paraId="4D743754" w14:textId="77777777" w:rsidR="00AB61A6" w:rsidRPr="00E461C5" w:rsidRDefault="00AB61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Times New Roman" w:hAnsi="Times New Roman" w:cs="Times New Roman"/>
          <w:color w:val="000000" w:themeColor="text1"/>
          <w:lang w:eastAsia="pl-PL"/>
        </w:rPr>
        <w:t>pełnieniu funkcji członka organu nadzorczego lub zarządzającego, prokurenta, pełnomocnika,</w:t>
      </w:r>
    </w:p>
    <w:p w14:paraId="7E7B7A09" w14:textId="77777777" w:rsidR="00AB61A6" w:rsidRPr="00E461C5" w:rsidRDefault="00AB61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pozostawaniu w takim stosunku prawnym lub faktycznym, który może budzić uzasadnione wątpliwości, co do bezstronności w wyborze wykonawcy, w szczególności pozostawaniu </w:t>
      </w:r>
      <w:r w:rsidRPr="00E461C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>w związku małżeńskim, w stosunku pokrewieństwa lub powinowactwa w linii prostej, pokrewieństwa lub powinowactwa w linii bocznej do drugiego stopnia lub w stosunku przysposobienia, opieki lub kurateli.</w:t>
      </w:r>
    </w:p>
    <w:p w14:paraId="6205BA61" w14:textId="77777777" w:rsidR="00AB61A6" w:rsidRPr="00E461C5" w:rsidRDefault="00AB61A6" w:rsidP="00AB61A6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  <w:lang w:eastAsia="pl-PL"/>
        </w:rPr>
      </w:pPr>
    </w:p>
    <w:p w14:paraId="10CC190C" w14:textId="77777777" w:rsidR="00AB61A6" w:rsidRPr="00E461C5" w:rsidRDefault="00AB61A6" w:rsidP="00AB61A6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  <w:lang w:eastAsia="pl-PL"/>
        </w:rPr>
      </w:pPr>
    </w:p>
    <w:p w14:paraId="00E993DD" w14:textId="77777777" w:rsidR="00AB61A6" w:rsidRPr="00E461C5" w:rsidRDefault="00AB61A6" w:rsidP="00AB61A6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  <w:lang w:eastAsia="pl-PL"/>
        </w:rPr>
      </w:pPr>
    </w:p>
    <w:p w14:paraId="1BDA4919" w14:textId="77777777" w:rsidR="00AB61A6" w:rsidRPr="00E461C5" w:rsidRDefault="00AB61A6" w:rsidP="00AB61A6">
      <w:pPr>
        <w:spacing w:line="360" w:lineRule="auto"/>
        <w:jc w:val="right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……………………………………… dnia …………………………</w:t>
      </w:r>
    </w:p>
    <w:p w14:paraId="20330652" w14:textId="77777777" w:rsidR="00AB61A6" w:rsidRPr="00E461C5" w:rsidRDefault="00AB61A6" w:rsidP="00AB61A6">
      <w:pPr>
        <w:spacing w:line="360" w:lineRule="auto"/>
        <w:jc w:val="right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…..……………………………………………………..</w:t>
      </w:r>
    </w:p>
    <w:p w14:paraId="60864CA5" w14:textId="77777777" w:rsidR="00AB61A6" w:rsidRPr="00E461C5" w:rsidRDefault="00AB61A6" w:rsidP="00AB61A6">
      <w:pPr>
        <w:spacing w:line="360" w:lineRule="auto"/>
        <w:jc w:val="right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 xml:space="preserve">Czytelny podpis uprawnionego przedstawiciela Oferenta </w:t>
      </w:r>
    </w:p>
    <w:p w14:paraId="1B3737C3" w14:textId="77777777" w:rsidR="00AB61A6" w:rsidRPr="00E461C5" w:rsidRDefault="00AB61A6" w:rsidP="00AB61A6">
      <w:pPr>
        <w:jc w:val="right"/>
        <w:rPr>
          <w:b/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oraz pieczęć firmowa (jeśli podmiot posiada pieczęć)</w:t>
      </w:r>
      <w:r w:rsidRPr="00E461C5">
        <w:rPr>
          <w:b/>
          <w:color w:val="000000" w:themeColor="text1"/>
          <w:sz w:val="22"/>
          <w:szCs w:val="22"/>
          <w:lang w:eastAsia="pl-PL"/>
        </w:rPr>
        <w:t xml:space="preserve"> </w:t>
      </w:r>
    </w:p>
    <w:p w14:paraId="3062FF85" w14:textId="77777777" w:rsidR="00AB61A6" w:rsidRPr="00E461C5" w:rsidRDefault="00AB61A6" w:rsidP="00AB61A6">
      <w:pPr>
        <w:rPr>
          <w:b/>
          <w:color w:val="000000" w:themeColor="text1"/>
          <w:sz w:val="22"/>
          <w:szCs w:val="22"/>
          <w:lang w:eastAsia="pl-PL"/>
        </w:rPr>
      </w:pPr>
      <w:r w:rsidRPr="00E461C5">
        <w:rPr>
          <w:b/>
          <w:color w:val="000000" w:themeColor="text1"/>
          <w:sz w:val="22"/>
          <w:szCs w:val="22"/>
          <w:lang w:eastAsia="pl-PL"/>
        </w:rPr>
        <w:br w:type="page"/>
      </w:r>
    </w:p>
    <w:p w14:paraId="5C762305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3B2A4BDC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60AD16FA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6B576FC6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57982082" w14:textId="77777777" w:rsidR="00ED5EED" w:rsidRDefault="00ED5EED" w:rsidP="00ED5EED">
      <w:pPr>
        <w:shd w:val="clear" w:color="auto" w:fill="F2F2F2"/>
        <w:spacing w:after="120" w:line="276" w:lineRule="auto"/>
        <w:ind w:left="4956"/>
        <w:rPr>
          <w:sz w:val="22"/>
          <w:szCs w:val="22"/>
        </w:rPr>
      </w:pPr>
      <w:r>
        <w:rPr>
          <w:sz w:val="22"/>
          <w:szCs w:val="22"/>
        </w:rPr>
        <w:t>Załącznik nr 2 do zapytania ofertowego</w:t>
      </w:r>
    </w:p>
    <w:p w14:paraId="0223EDE0" w14:textId="77777777" w:rsidR="00ED5EED" w:rsidRDefault="00ED5EED" w:rsidP="00ED5EED">
      <w:pPr>
        <w:shd w:val="clear" w:color="auto" w:fill="F2F2F2"/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Imię i nazwisko lub firma (nazwa) i adres siedziby Wykonawcy: ........................................................................................................</w:t>
      </w:r>
    </w:p>
    <w:p w14:paraId="37696B44" w14:textId="77777777" w:rsidR="00ED5EED" w:rsidRDefault="00ED5EED" w:rsidP="00ED5EED">
      <w:pPr>
        <w:shd w:val="clear" w:color="auto" w:fill="F2F2F2"/>
        <w:spacing w:line="276" w:lineRule="auto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Nr NIP:</w:t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  <w:t>...................................................</w:t>
      </w:r>
    </w:p>
    <w:p w14:paraId="6244CEB8" w14:textId="77777777" w:rsidR="00ED5EED" w:rsidRDefault="00ED5EED" w:rsidP="00ED5EED">
      <w:pPr>
        <w:shd w:val="clear" w:color="auto" w:fill="F2F2F2"/>
        <w:spacing w:line="276" w:lineRule="auto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Nr REGON:</w:t>
      </w:r>
      <w:r>
        <w:rPr>
          <w:sz w:val="22"/>
          <w:szCs w:val="22"/>
          <w:lang w:val="de-DE"/>
        </w:rPr>
        <w:tab/>
        <w:t>...................................................</w:t>
      </w:r>
    </w:p>
    <w:p w14:paraId="04BB5079" w14:textId="77777777" w:rsidR="00ED5EED" w:rsidRDefault="00ED5EED" w:rsidP="00ED5EED">
      <w:pPr>
        <w:shd w:val="clear" w:color="auto" w:fill="F2F2F2"/>
        <w:tabs>
          <w:tab w:val="left" w:pos="1418"/>
          <w:tab w:val="center" w:pos="2977"/>
          <w:tab w:val="center" w:pos="4536"/>
          <w:tab w:val="right" w:pos="9072"/>
        </w:tabs>
        <w:spacing w:line="276" w:lineRule="auto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Nr telefonu:</w:t>
      </w:r>
      <w:r>
        <w:rPr>
          <w:sz w:val="22"/>
          <w:szCs w:val="22"/>
          <w:lang w:val="de-DE"/>
        </w:rPr>
        <w:tab/>
        <w:t>...................................................</w:t>
      </w:r>
    </w:p>
    <w:p w14:paraId="210AED74" w14:textId="77777777" w:rsidR="00ED5EED" w:rsidRDefault="00ED5EED" w:rsidP="00ED5EED">
      <w:pPr>
        <w:shd w:val="clear" w:color="auto" w:fill="F2F2F2"/>
        <w:spacing w:line="276" w:lineRule="auto"/>
        <w:ind w:left="1418" w:hanging="1418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E-Mail:</w:t>
      </w:r>
      <w:r>
        <w:rPr>
          <w:sz w:val="22"/>
          <w:szCs w:val="22"/>
          <w:lang w:val="de-DE"/>
        </w:rPr>
        <w:tab/>
        <w:t>...................................................</w:t>
      </w:r>
    </w:p>
    <w:p w14:paraId="3B443729" w14:textId="77777777" w:rsidR="00ED5EED" w:rsidRDefault="00ED5EED" w:rsidP="00ED5EED">
      <w:pPr>
        <w:shd w:val="clear" w:color="auto" w:fill="F2F2F2"/>
        <w:spacing w:line="276" w:lineRule="auto"/>
        <w:rPr>
          <w:sz w:val="22"/>
          <w:szCs w:val="22"/>
          <w:lang w:val="nb-NO"/>
        </w:rPr>
      </w:pPr>
      <w:r>
        <w:rPr>
          <w:sz w:val="22"/>
          <w:szCs w:val="22"/>
          <w:lang w:val="nb-NO"/>
        </w:rPr>
        <w:t>KRS/CeiDG:</w:t>
      </w:r>
      <w:r>
        <w:rPr>
          <w:sz w:val="22"/>
          <w:szCs w:val="22"/>
          <w:lang w:val="nb-NO"/>
        </w:rPr>
        <w:tab/>
      </w:r>
      <w:r>
        <w:rPr>
          <w:sz w:val="22"/>
          <w:szCs w:val="22"/>
          <w:lang w:val="de-DE"/>
        </w:rPr>
        <w:t>...................................................</w:t>
      </w:r>
    </w:p>
    <w:p w14:paraId="4304E654" w14:textId="77777777" w:rsidR="00ED5EED" w:rsidRDefault="00ED5EED" w:rsidP="00ED5EED">
      <w:pPr>
        <w:shd w:val="clear" w:color="auto" w:fill="F2F2F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Dane osoby upoważnionej do kontaktowania się z Zamawiającym: </w:t>
      </w:r>
      <w:r>
        <w:rPr>
          <w:sz w:val="22"/>
          <w:szCs w:val="22"/>
          <w:lang w:val="de-DE"/>
        </w:rPr>
        <w:t>.........................................................</w:t>
      </w:r>
    </w:p>
    <w:p w14:paraId="2E04F477" w14:textId="77777777" w:rsidR="00ED5EED" w:rsidRDefault="00ED5EED" w:rsidP="00ED5EED">
      <w:pPr>
        <w:jc w:val="center"/>
        <w:rPr>
          <w:b/>
          <w:sz w:val="22"/>
          <w:szCs w:val="22"/>
        </w:rPr>
      </w:pPr>
    </w:p>
    <w:p w14:paraId="0F234BCE" w14:textId="77777777" w:rsidR="00ED5EED" w:rsidRDefault="00ED5EED" w:rsidP="00ED5EE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 W</w:t>
      </w:r>
      <w:r>
        <w:rPr>
          <w:b/>
          <w:caps/>
          <w:sz w:val="22"/>
          <w:szCs w:val="22"/>
        </w:rPr>
        <w:t xml:space="preserve"> Y K O N A W C Y </w:t>
      </w:r>
    </w:p>
    <w:p w14:paraId="4726BF8B" w14:textId="419558EB" w:rsidR="00ED5EED" w:rsidRPr="00F807F0" w:rsidRDefault="00ED5EED" w:rsidP="00ED5EED">
      <w:pPr>
        <w:spacing w:after="280"/>
        <w:jc w:val="center"/>
        <w:rPr>
          <w:color w:val="EE0000"/>
        </w:rPr>
      </w:pPr>
      <w:r>
        <w:rPr>
          <w:sz w:val="22"/>
          <w:szCs w:val="22"/>
        </w:rPr>
        <w:t>W odpowiedzi na zapytanie ofertowe składam(-y) ofertę na</w:t>
      </w:r>
      <w:r>
        <w:t xml:space="preserve"> </w:t>
      </w:r>
      <w:r w:rsidRPr="00E461C5">
        <w:rPr>
          <w:color w:val="000000" w:themeColor="text1"/>
          <w:sz w:val="22"/>
          <w:szCs w:val="22"/>
        </w:rPr>
        <w:t xml:space="preserve">: </w:t>
      </w:r>
      <w:r w:rsidRPr="00E461C5">
        <w:rPr>
          <w:b/>
          <w:bCs/>
          <w:color w:val="000000" w:themeColor="text1"/>
          <w:sz w:val="22"/>
          <w:szCs w:val="22"/>
        </w:rPr>
        <w:t>„</w:t>
      </w:r>
      <w:r w:rsidRPr="00B86D09">
        <w:rPr>
          <w:b/>
        </w:rPr>
        <w:t>Zakup i dostaw</w:t>
      </w:r>
      <w:r>
        <w:rPr>
          <w:b/>
        </w:rPr>
        <w:t>ę</w:t>
      </w:r>
      <w:r w:rsidRPr="00B86D09">
        <w:rPr>
          <w:b/>
        </w:rPr>
        <w:t xml:space="preserve"> kolumny synchronizacji generatorów i przekształtników dla Laboratorium Elektrotechniki Okrętowej.”</w:t>
      </w:r>
    </w:p>
    <w:p w14:paraId="581FD7C1" w14:textId="348F1D06" w:rsidR="00ED5EED" w:rsidRDefault="00ED5EED" w:rsidP="00ED5EE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,</w:t>
      </w:r>
      <w:r>
        <w:t xml:space="preserve"> </w:t>
      </w:r>
      <w:r>
        <w:rPr>
          <w:rFonts w:eastAsia="Times New Roman,Bold"/>
          <w:sz w:val="22"/>
          <w:szCs w:val="22"/>
        </w:rPr>
        <w:t>na warunkach i zasadach określonych w zapytaniu ofertowym, po łącznej cenie brutto:</w:t>
      </w:r>
    </w:p>
    <w:p w14:paraId="58A4F09C" w14:textId="77777777" w:rsidR="00ED5EED" w:rsidRDefault="00ED5EED" w:rsidP="00ED5EED">
      <w:pPr>
        <w:rPr>
          <w:sz w:val="22"/>
          <w:szCs w:val="22"/>
        </w:rPr>
      </w:pPr>
      <w:bookmarkStart w:id="1" w:name="_Hlk213320210"/>
    </w:p>
    <w:p w14:paraId="4AAF8748" w14:textId="77777777" w:rsidR="00ED5EED" w:rsidRDefault="00ED5EED" w:rsidP="00ED5EED">
      <w:pPr>
        <w:shd w:val="clear" w:color="auto" w:fill="FFFFFF"/>
        <w:suppressAutoHyphens w:val="0"/>
        <w:spacing w:line="360" w:lineRule="auto"/>
        <w:ind w:right="-144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brutto: …………………………………………………………………………………………………</w:t>
      </w:r>
    </w:p>
    <w:p w14:paraId="4AE5C39A" w14:textId="77777777" w:rsidR="00ED5EED" w:rsidRDefault="00ED5EED" w:rsidP="00ED5EED">
      <w:pPr>
        <w:shd w:val="clear" w:color="auto" w:fill="FFFFFF"/>
        <w:suppressAutoHyphens w:val="0"/>
        <w:spacing w:line="360" w:lineRule="auto"/>
        <w:ind w:right="-144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Cena brutto słownie: ………………………………………………………………………………….</w:t>
      </w:r>
    </w:p>
    <w:bookmarkEnd w:id="1"/>
    <w:p w14:paraId="6B8DBABE" w14:textId="77777777" w:rsidR="00ED5EED" w:rsidRDefault="00ED5EED" w:rsidP="00ED5EED">
      <w:pPr>
        <w:shd w:val="clear" w:color="auto" w:fill="FFFFFF"/>
        <w:suppressAutoHyphens w:val="0"/>
        <w:spacing w:line="360" w:lineRule="auto"/>
        <w:ind w:right="-144"/>
        <w:rPr>
          <w:sz w:val="22"/>
          <w:szCs w:val="22"/>
          <w:lang w:eastAsia="pl-PL"/>
        </w:rPr>
      </w:pPr>
    </w:p>
    <w:p w14:paraId="3741F606" w14:textId="77777777" w:rsidR="00ED5EED" w:rsidRDefault="00ED5EED" w:rsidP="00ED5EED">
      <w:pPr>
        <w:shd w:val="clear" w:color="auto" w:fill="FFFFFF"/>
        <w:suppressAutoHyphens w:val="0"/>
        <w:spacing w:line="360" w:lineRule="auto"/>
        <w:ind w:right="-144"/>
        <w:rPr>
          <w:sz w:val="22"/>
          <w:szCs w:val="22"/>
          <w:lang w:eastAsia="pl-PL"/>
        </w:rPr>
      </w:pPr>
      <w:bookmarkStart w:id="2" w:name="_Hlk216779812"/>
      <w:r>
        <w:rPr>
          <w:sz w:val="22"/>
          <w:szCs w:val="22"/>
          <w:lang w:eastAsia="pl-PL"/>
        </w:rPr>
        <w:t>Oferowany produkt oraz producent …………………………………………………………..</w:t>
      </w:r>
    </w:p>
    <w:bookmarkEnd w:id="2"/>
    <w:p w14:paraId="56AE1A80" w14:textId="77777777" w:rsidR="00ED5EED" w:rsidRDefault="00ED5EED" w:rsidP="00ED5EED">
      <w:pPr>
        <w:shd w:val="clear" w:color="auto" w:fill="FFFFFF"/>
        <w:suppressAutoHyphens w:val="0"/>
        <w:rPr>
          <w:b/>
          <w:color w:val="4472C4" w:themeColor="accent1"/>
          <w:sz w:val="22"/>
          <w:szCs w:val="22"/>
          <w:lang w:eastAsia="pl-PL"/>
        </w:rPr>
      </w:pPr>
    </w:p>
    <w:p w14:paraId="703B795D" w14:textId="77777777" w:rsidR="00ED5EED" w:rsidRDefault="00ED5EED" w:rsidP="00ED5EED">
      <w:pPr>
        <w:spacing w:line="276" w:lineRule="auto"/>
        <w:jc w:val="both"/>
        <w:textAlignment w:val="baseline"/>
        <w:rPr>
          <w:noProof/>
          <w:sz w:val="22"/>
          <w:szCs w:val="22"/>
        </w:rPr>
      </w:pPr>
      <w:r>
        <w:rPr>
          <w:sz w:val="22"/>
          <w:szCs w:val="22"/>
        </w:rPr>
        <w:t>W przypadku, gdy produkt posiada normę równoważną na Wykonawcy spoczywa obowiązek udowodnienia równoważności.</w:t>
      </w:r>
    </w:p>
    <w:p w14:paraId="34ABCEF6" w14:textId="77777777" w:rsidR="00ED5EED" w:rsidRDefault="00ED5EED" w:rsidP="00ED5EED">
      <w:pPr>
        <w:autoSpaceDE w:val="0"/>
        <w:spacing w:after="60"/>
        <w:ind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Podane przez Zamawiającego ewentualne nazwy (znaki towarowe), mają charakter przykładowy, a ich wskazanie ma na celu określenie oczekiwanego standardu, przy czym Zamawiający dopuszcza składanie ofert równoważnych w zakresie sporządzonego opisu przedmiotu zamówienia. </w:t>
      </w:r>
    </w:p>
    <w:p w14:paraId="3E2F75AE" w14:textId="77777777" w:rsidR="00ED5EED" w:rsidRDefault="00ED5EED" w:rsidP="00ED5EED">
      <w:pPr>
        <w:pStyle w:val="Tekstpodstawowy3"/>
        <w:tabs>
          <w:tab w:val="left" w:pos="284"/>
        </w:tabs>
        <w:suppressAutoHyphens w:val="0"/>
        <w:spacing w:after="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Przedmiot zamówienia określono poprzez wskazanie obiektywnych cech technicznych </w:t>
      </w:r>
      <w:r>
        <w:rPr>
          <w:bCs/>
          <w:sz w:val="22"/>
          <w:szCs w:val="22"/>
        </w:rPr>
        <w:br/>
        <w:t xml:space="preserve">i jakościowych oraz standardów, dla których określenia dopuszcza się wskazanie przykładowych znaków towarowych. </w:t>
      </w:r>
    </w:p>
    <w:p w14:paraId="3DC26489" w14:textId="77777777" w:rsidR="00ED5EED" w:rsidRDefault="00ED5EED" w:rsidP="00ED5EED">
      <w:pPr>
        <w:shd w:val="clear" w:color="auto" w:fill="FFFFFF"/>
        <w:suppressAutoHyphens w:val="0"/>
        <w:rPr>
          <w:b/>
          <w:color w:val="4472C4" w:themeColor="accent1"/>
          <w:sz w:val="22"/>
          <w:szCs w:val="22"/>
          <w:lang w:eastAsia="pl-PL"/>
        </w:rPr>
      </w:pPr>
      <w:r>
        <w:rPr>
          <w:b/>
          <w:color w:val="4472C4" w:themeColor="accent1"/>
          <w:sz w:val="22"/>
          <w:szCs w:val="22"/>
          <w:lang w:eastAsia="pl-PL"/>
        </w:rPr>
        <w:t xml:space="preserve">Pod groźbą odpowiedzialności karnej oświadczam(-y), że załączone do oferty dokumenty opisują </w:t>
      </w:r>
    </w:p>
    <w:p w14:paraId="6597AAD1" w14:textId="77777777" w:rsidR="00ED5EED" w:rsidRDefault="00ED5EED" w:rsidP="00ED5EED">
      <w:pPr>
        <w:shd w:val="clear" w:color="auto" w:fill="FFFFFF"/>
        <w:suppressAutoHyphens w:val="0"/>
        <w:rPr>
          <w:b/>
          <w:color w:val="4472C4" w:themeColor="accent1"/>
          <w:sz w:val="22"/>
          <w:szCs w:val="22"/>
          <w:lang w:eastAsia="pl-PL"/>
        </w:rPr>
      </w:pPr>
      <w:r>
        <w:rPr>
          <w:b/>
          <w:color w:val="4472C4" w:themeColor="accent1"/>
          <w:sz w:val="22"/>
          <w:szCs w:val="22"/>
          <w:lang w:eastAsia="pl-PL"/>
        </w:rPr>
        <w:t>stan faktyczny i prawny aktualny na dzień składania ofert (art. 233 k.k.)</w:t>
      </w:r>
    </w:p>
    <w:p w14:paraId="068105F8" w14:textId="77777777" w:rsidR="00ED5EED" w:rsidRDefault="00ED5EED" w:rsidP="00ED5EED">
      <w:pPr>
        <w:ind w:left="142"/>
        <w:jc w:val="both"/>
        <w:rPr>
          <w:sz w:val="22"/>
          <w:szCs w:val="22"/>
        </w:rPr>
      </w:pPr>
    </w:p>
    <w:p w14:paraId="1ECEC01B" w14:textId="77777777" w:rsidR="00ED5EED" w:rsidRDefault="00ED5EED" w:rsidP="00ED5EED">
      <w:pPr>
        <w:pStyle w:val="Akapitzlist"/>
        <w:numPr>
          <w:ilvl w:val="1"/>
          <w:numId w:val="8"/>
        </w:numPr>
        <w:tabs>
          <w:tab w:val="clear" w:pos="1080"/>
          <w:tab w:val="num" w:pos="1276"/>
        </w:tabs>
        <w:autoSpaceDE w:val="0"/>
        <w:spacing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Oświadczam(-y), iż zaakceptowałem(-liśmy) termin realizacji przedmiotu umowy wskazany </w:t>
      </w:r>
      <w:r>
        <w:rPr>
          <w:rFonts w:ascii="Times New Roman" w:hAnsi="Times New Roman" w:cs="Times New Roman"/>
        </w:rPr>
        <w:br/>
        <w:t xml:space="preserve">w Zapytaniu ofertowym i nie wnoszę(simy) do niego zastrzeżeń. </w:t>
      </w:r>
    </w:p>
    <w:p w14:paraId="7CAC8A72" w14:textId="77777777" w:rsidR="00ED5EED" w:rsidRDefault="00ED5EED" w:rsidP="00ED5EED">
      <w:pPr>
        <w:pStyle w:val="Akapitzlist"/>
        <w:numPr>
          <w:ilvl w:val="1"/>
          <w:numId w:val="8"/>
        </w:numPr>
        <w:tabs>
          <w:tab w:val="clear" w:pos="1080"/>
          <w:tab w:val="num" w:pos="1276"/>
        </w:tabs>
        <w:autoSpaceDE w:val="0"/>
        <w:spacing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Oświadczam(-y), że zapoznałam(-liśmy) się z warunkami Zapytania ofertowego i nie wnoszę(-imy) do niego zastrzeżeń oraz zdobyliśmy konieczne informacje niezbędne do przygotowania oferty.</w:t>
      </w:r>
    </w:p>
    <w:p w14:paraId="024831ED" w14:textId="77777777" w:rsidR="00ED5EED" w:rsidRDefault="00ED5EED" w:rsidP="00ED5EED">
      <w:pPr>
        <w:pStyle w:val="Akapitzlist"/>
        <w:numPr>
          <w:ilvl w:val="1"/>
          <w:numId w:val="8"/>
        </w:numPr>
        <w:tabs>
          <w:tab w:val="clear" w:pos="1080"/>
          <w:tab w:val="num" w:pos="1276"/>
        </w:tabs>
        <w:autoSpaceDE w:val="0"/>
        <w:spacing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Oświadczam(-y), iż zapoznałem(liśmy) się z treścią wzoru umowy, stanowiącego załącznik do zapytania ofertowego i nie wnoszę(simy) do niego zastrzeżeń i zobowiązuję(-my) się, w przypadku wyboru mojej(naszej) oferty, do zawarcia tej umowy zgodnej z treścią w/w wzoru.</w:t>
      </w:r>
    </w:p>
    <w:p w14:paraId="26B003FA" w14:textId="77777777" w:rsidR="00ED5EED" w:rsidRDefault="00ED5EED" w:rsidP="00ED5EED">
      <w:pPr>
        <w:pStyle w:val="Akapitzlist"/>
        <w:numPr>
          <w:ilvl w:val="1"/>
          <w:numId w:val="8"/>
        </w:numPr>
        <w:shd w:val="clear" w:color="auto" w:fill="FFFFFF"/>
        <w:tabs>
          <w:tab w:val="clear" w:pos="1080"/>
          <w:tab w:val="num" w:pos="1276"/>
        </w:tabs>
        <w:spacing w:after="120" w:line="25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Oświadczam(-y), iż zapoznałem(-liśmy) się z klauzulą informacyjną i nie wnosimy od niej zastrzeżeń.</w:t>
      </w:r>
    </w:p>
    <w:p w14:paraId="49954E1C" w14:textId="77777777" w:rsidR="00ED5EED" w:rsidRDefault="00ED5EED" w:rsidP="00ED5EED">
      <w:pPr>
        <w:shd w:val="clear" w:color="auto" w:fill="FFFFFF"/>
        <w:tabs>
          <w:tab w:val="num" w:pos="1276"/>
        </w:tabs>
        <w:spacing w:after="120" w:line="256" w:lineRule="auto"/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>4.  Oświadczam(-y), że dokumenty takie jak: odpis z właściwego rejestru lub z centralnej ewidencji i informacji o działalności gospodarczej dostępne są na stronie internetowej:</w:t>
      </w:r>
    </w:p>
    <w:p w14:paraId="146801E8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751DE83C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17634687" w14:textId="77777777" w:rsidR="003B2CD4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56955EEA" w14:textId="77777777" w:rsidR="003B2CD4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3B6727DA" w14:textId="77777777" w:rsidR="003B2CD4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7F709ECC" w14:textId="77777777" w:rsidR="003B2CD4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1E88F8B0" w14:textId="77777777" w:rsidR="003B2CD4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07B94617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69C2A523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6B46262D" w14:textId="77777777" w:rsidR="003B2CD4" w:rsidRDefault="003B2CD4" w:rsidP="003B2CD4"/>
    <w:p w14:paraId="5682092C" w14:textId="77777777" w:rsidR="006A77D9" w:rsidRDefault="006A77D9" w:rsidP="00930276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77C08E52" w14:textId="77777777" w:rsidR="006A77D9" w:rsidRPr="00E461C5" w:rsidRDefault="006A77D9" w:rsidP="00930276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44A584C6" w14:textId="77777777" w:rsidR="00F41781" w:rsidRPr="00E461C5" w:rsidRDefault="00F41781" w:rsidP="00930276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2D92B693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06F03C9D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69EAAB9B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53FDA3F0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29643ACE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37A910E3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17816E4B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16E286C7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513BF160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5A9E473F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2E766310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0DECB470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483F6C8C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1C54B5FF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5ECB4511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2CD8E850" w14:textId="77777777" w:rsidR="004A058C" w:rsidRPr="00E461C5" w:rsidRDefault="004A058C" w:rsidP="007F2587">
      <w:pPr>
        <w:suppressAutoHyphens w:val="0"/>
        <w:spacing w:before="60" w:after="60"/>
        <w:rPr>
          <w:color w:val="000000" w:themeColor="text1"/>
          <w:sz w:val="22"/>
          <w:szCs w:val="22"/>
          <w:lang w:eastAsia="pl-PL"/>
        </w:rPr>
      </w:pPr>
    </w:p>
    <w:p w14:paraId="12C92A07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142D2688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41535544" w14:textId="6FA5E190" w:rsidR="00E17E57" w:rsidRPr="00E461C5" w:rsidRDefault="00E17E57" w:rsidP="00A63FE0">
      <w:pPr>
        <w:suppressAutoHyphens w:val="0"/>
        <w:spacing w:before="60" w:after="60"/>
        <w:jc w:val="right"/>
        <w:rPr>
          <w:color w:val="000000" w:themeColor="text1"/>
          <w:sz w:val="22"/>
          <w:szCs w:val="22"/>
        </w:rPr>
      </w:pPr>
    </w:p>
    <w:sectPr w:rsidR="00E17E57" w:rsidRPr="00E461C5" w:rsidSect="002B2EB8">
      <w:headerReference w:type="default" r:id="rId14"/>
      <w:footerReference w:type="default" r:id="rId15"/>
      <w:pgSz w:w="11906" w:h="16838"/>
      <w:pgMar w:top="425" w:right="1418" w:bottom="1134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EC2CA" w14:textId="77777777" w:rsidR="003F3DDC" w:rsidRDefault="003F3DDC">
      <w:r>
        <w:separator/>
      </w:r>
    </w:p>
  </w:endnote>
  <w:endnote w:type="continuationSeparator" w:id="0">
    <w:p w14:paraId="418AEC09" w14:textId="77777777" w:rsidR="003F3DDC" w:rsidRDefault="003F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Arial Unicode M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915076"/>
      <w:docPartObj>
        <w:docPartGallery w:val="Page Numbers (Bottom of Page)"/>
        <w:docPartUnique/>
      </w:docPartObj>
    </w:sdtPr>
    <w:sdtEndPr/>
    <w:sdtContent>
      <w:p w14:paraId="0A8D6E05" w14:textId="77777777" w:rsidR="00415CFF" w:rsidRDefault="00A95E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1BF">
          <w:rPr>
            <w:noProof/>
          </w:rPr>
          <w:t>14</w:t>
        </w:r>
        <w:r>
          <w:fldChar w:fldCharType="end"/>
        </w:r>
      </w:p>
    </w:sdtContent>
  </w:sdt>
  <w:sdt>
    <w:sdtPr>
      <w:id w:val="-161784145"/>
      <w:docPartObj>
        <w:docPartGallery w:val="AutoText"/>
      </w:docPartObj>
    </w:sdtPr>
    <w:sdtEndPr/>
    <w:sdtContent>
      <w:p w14:paraId="6194C797" w14:textId="77777777" w:rsidR="00E945BC" w:rsidRDefault="00E945BC" w:rsidP="00E945BC">
        <w:pPr>
          <w:jc w:val="center"/>
          <w:rPr>
            <w:sz w:val="22"/>
            <w:szCs w:val="22"/>
            <w:lang w:eastAsia="en-US"/>
          </w:rPr>
        </w:pPr>
      </w:p>
      <w:p w14:paraId="23B9E2B2" w14:textId="77777777" w:rsidR="00E945BC" w:rsidRDefault="00E945BC" w:rsidP="00E945BC">
        <w:pPr>
          <w:jc w:val="center"/>
        </w:pPr>
        <w:r>
          <w:t>Projekt: „Laboratoria 4.0 – Nowoczesne kształcenie praktyczne w Politechnice Morskiej w Szczecinie”</w:t>
        </w:r>
      </w:p>
      <w:p w14:paraId="2D3A7D4A" w14:textId="77777777" w:rsidR="00E945BC" w:rsidRDefault="00E945BC" w:rsidP="00E945BC">
        <w:pPr>
          <w:jc w:val="center"/>
        </w:pPr>
        <w:r>
          <w:t>Umowa nr FEPZ.05.03-IZ.00-0007/24-00</w:t>
        </w:r>
      </w:p>
      <w:p w14:paraId="37E54352" w14:textId="77777777" w:rsidR="00E945BC" w:rsidRDefault="00E945BC" w:rsidP="00E945BC">
        <w:pPr>
          <w:jc w:val="center"/>
        </w:pPr>
        <w:r>
          <w:t xml:space="preserve">Projekt dofinansowany w ramach Programu Fundusze Europejskie dla Pomorza Zachodniego </w:t>
        </w:r>
      </w:p>
      <w:p w14:paraId="7154668B" w14:textId="77777777" w:rsidR="00E945BC" w:rsidRDefault="00E945BC" w:rsidP="00E945BC">
        <w:pPr>
          <w:jc w:val="center"/>
        </w:pPr>
        <w:r>
          <w:t>2021-2027</w:t>
        </w:r>
      </w:p>
      <w:p w14:paraId="4DEEE6D2" w14:textId="77777777" w:rsidR="00E945BC" w:rsidRDefault="003F3DDC" w:rsidP="00E945BC"/>
    </w:sdtContent>
  </w:sdt>
  <w:p w14:paraId="6EC2664B" w14:textId="77777777" w:rsidR="00415CFF" w:rsidRDefault="00415CFF" w:rsidP="00E945BC">
    <w:pPr>
      <w:pStyle w:val="p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2793" w14:textId="77777777" w:rsidR="003F3DDC" w:rsidRDefault="003F3DDC">
      <w:r>
        <w:separator/>
      </w:r>
    </w:p>
  </w:footnote>
  <w:footnote w:type="continuationSeparator" w:id="0">
    <w:p w14:paraId="60E77D6C" w14:textId="77777777" w:rsidR="003F3DDC" w:rsidRDefault="003F3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F0EE" w14:textId="51734C56" w:rsidR="005E6643" w:rsidRDefault="00022167">
    <w:pPr>
      <w:pStyle w:val="Nagwek"/>
    </w:pPr>
    <w:r>
      <w:rPr>
        <w:noProof/>
      </w:rPr>
      <w:drawing>
        <wp:inline distT="0" distB="0" distL="0" distR="0" wp14:anchorId="3C66571C" wp14:editId="44E0D43D">
          <wp:extent cx="5638800" cy="542925"/>
          <wp:effectExtent l="0" t="0" r="0" b="9525"/>
          <wp:docPr id="192025357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3837847204071802307_x0000_i102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502621" w14:textId="3FD36979" w:rsidR="00415CFF" w:rsidRDefault="00415CFF" w:rsidP="004F11E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05E4E1C"/>
    <w:name w:val="WW8Num1"/>
    <w:lvl w:ilvl="0">
      <w:start w:val="1"/>
      <w:numFmt w:val="decimal"/>
      <w:lvlText w:val="%1."/>
      <w:lvlJc w:val="left"/>
      <w:pPr>
        <w:tabs>
          <w:tab w:val="num" w:pos="2552"/>
        </w:tabs>
        <w:ind w:left="3272" w:firstLine="360"/>
      </w:pPr>
      <w:rPr>
        <w:rFonts w:ascii="Calibri" w:eastAsiaTheme="minorHAnsi" w:hAnsi="Calibri" w:cs="Calibri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552"/>
        </w:tabs>
        <w:ind w:left="3632" w:firstLine="720"/>
      </w:pPr>
      <w:rPr>
        <w:position w:val="0"/>
        <w:sz w:val="22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2552"/>
        </w:tabs>
        <w:ind w:left="3992" w:firstLine="1080"/>
      </w:pPr>
      <w:rPr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552"/>
        </w:tabs>
        <w:ind w:left="4352" w:firstLine="1440"/>
      </w:pPr>
      <w:rPr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2552"/>
        </w:tabs>
        <w:ind w:left="4712" w:firstLine="1800"/>
      </w:pPr>
      <w:rPr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2552"/>
        </w:tabs>
        <w:ind w:left="5072" w:firstLine="2160"/>
      </w:pPr>
      <w:rPr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2552"/>
        </w:tabs>
        <w:ind w:left="5432" w:firstLine="2520"/>
      </w:pPr>
      <w:rPr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2552"/>
        </w:tabs>
        <w:ind w:left="5792" w:firstLine="2880"/>
      </w:pPr>
      <w:rPr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2552"/>
        </w:tabs>
        <w:ind w:left="6152" w:firstLine="3240"/>
      </w:pPr>
      <w:rPr>
        <w:position w:val="0"/>
        <w:sz w:val="22"/>
        <w:vertAlign w:val="baseline"/>
      </w:rPr>
    </w:lvl>
  </w:abstractNum>
  <w:abstractNum w:abstractNumId="1" w15:restartNumberingAfterBreak="0">
    <w:nsid w:val="00000011"/>
    <w:multiLevelType w:val="singleLevel"/>
    <w:tmpl w:val="1AAED5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color w:val="auto"/>
      </w:rPr>
    </w:lvl>
  </w:abstractNum>
  <w:abstractNum w:abstractNumId="2" w15:restartNumberingAfterBreak="0">
    <w:nsid w:val="00000012"/>
    <w:multiLevelType w:val="multilevel"/>
    <w:tmpl w:val="214A8BC8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20"/>
    <w:multiLevelType w:val="multilevel"/>
    <w:tmpl w:val="00000020"/>
    <w:name w:val="WW8Num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2A"/>
    <w:multiLevelType w:val="multilevel"/>
    <w:tmpl w:val="86C22180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D"/>
    <w:multiLevelType w:val="multi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Symbol" w:hAnsi="Symbol"/>
      </w:rPr>
    </w:lvl>
  </w:abstractNum>
  <w:abstractNum w:abstractNumId="10" w15:restartNumberingAfterBreak="0">
    <w:nsid w:val="05B06AE5"/>
    <w:multiLevelType w:val="hybridMultilevel"/>
    <w:tmpl w:val="CC3EDD30"/>
    <w:lvl w:ilvl="0" w:tplc="ED78A984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F893407"/>
    <w:multiLevelType w:val="hybridMultilevel"/>
    <w:tmpl w:val="8C8EB902"/>
    <w:lvl w:ilvl="0" w:tplc="B61CCD9C">
      <w:start w:val="1"/>
      <w:numFmt w:val="lowerLetter"/>
      <w:lvlText w:val="%1.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6D3DB6"/>
    <w:multiLevelType w:val="multilevel"/>
    <w:tmpl w:val="3A4034EE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40E7900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7288F"/>
    <w:multiLevelType w:val="hybridMultilevel"/>
    <w:tmpl w:val="158CEB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95160"/>
    <w:multiLevelType w:val="multilevel"/>
    <w:tmpl w:val="0CF2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A62906"/>
    <w:multiLevelType w:val="hybridMultilevel"/>
    <w:tmpl w:val="AF7CB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629178">
    <w:abstractNumId w:val="12"/>
  </w:num>
  <w:num w:numId="2" w16cid:durableId="697046753">
    <w:abstractNumId w:val="14"/>
  </w:num>
  <w:num w:numId="3" w16cid:durableId="1914974484">
    <w:abstractNumId w:val="15"/>
  </w:num>
  <w:num w:numId="4" w16cid:durableId="19529752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763322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76593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19299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270162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52"/>
    <w:rsid w:val="000007CA"/>
    <w:rsid w:val="00003BDA"/>
    <w:rsid w:val="0000557D"/>
    <w:rsid w:val="00005729"/>
    <w:rsid w:val="00012FB5"/>
    <w:rsid w:val="00014D83"/>
    <w:rsid w:val="00016F4A"/>
    <w:rsid w:val="00022167"/>
    <w:rsid w:val="00033C31"/>
    <w:rsid w:val="00034C0F"/>
    <w:rsid w:val="0004012A"/>
    <w:rsid w:val="000517B8"/>
    <w:rsid w:val="000600ED"/>
    <w:rsid w:val="000650E3"/>
    <w:rsid w:val="00071CE8"/>
    <w:rsid w:val="0007635F"/>
    <w:rsid w:val="00081057"/>
    <w:rsid w:val="000828E5"/>
    <w:rsid w:val="00092FC5"/>
    <w:rsid w:val="000A0839"/>
    <w:rsid w:val="000B4ADB"/>
    <w:rsid w:val="000B5011"/>
    <w:rsid w:val="000C3776"/>
    <w:rsid w:val="000D1867"/>
    <w:rsid w:val="000E0648"/>
    <w:rsid w:val="000E72A9"/>
    <w:rsid w:val="000F01A3"/>
    <w:rsid w:val="000F6C2A"/>
    <w:rsid w:val="000F761C"/>
    <w:rsid w:val="0010088F"/>
    <w:rsid w:val="00107CC8"/>
    <w:rsid w:val="00122B71"/>
    <w:rsid w:val="0012396C"/>
    <w:rsid w:val="00126ABE"/>
    <w:rsid w:val="001308E0"/>
    <w:rsid w:val="0013323C"/>
    <w:rsid w:val="001427E2"/>
    <w:rsid w:val="001452FA"/>
    <w:rsid w:val="00150302"/>
    <w:rsid w:val="001527AC"/>
    <w:rsid w:val="001722A6"/>
    <w:rsid w:val="00175694"/>
    <w:rsid w:val="0018024F"/>
    <w:rsid w:val="00184BBA"/>
    <w:rsid w:val="0018673A"/>
    <w:rsid w:val="00187CDA"/>
    <w:rsid w:val="001901E8"/>
    <w:rsid w:val="00190FDF"/>
    <w:rsid w:val="00193D8D"/>
    <w:rsid w:val="001941D8"/>
    <w:rsid w:val="00194EA3"/>
    <w:rsid w:val="00196FCB"/>
    <w:rsid w:val="001A1AA4"/>
    <w:rsid w:val="001B5A1E"/>
    <w:rsid w:val="001C545D"/>
    <w:rsid w:val="001C6EA3"/>
    <w:rsid w:val="001D006D"/>
    <w:rsid w:val="001D0918"/>
    <w:rsid w:val="001D6988"/>
    <w:rsid w:val="001E6F70"/>
    <w:rsid w:val="001F2003"/>
    <w:rsid w:val="00203154"/>
    <w:rsid w:val="00205ADC"/>
    <w:rsid w:val="00217241"/>
    <w:rsid w:val="00226A69"/>
    <w:rsid w:val="0023046D"/>
    <w:rsid w:val="00233127"/>
    <w:rsid w:val="00233CBD"/>
    <w:rsid w:val="00234B91"/>
    <w:rsid w:val="00244191"/>
    <w:rsid w:val="002663A0"/>
    <w:rsid w:val="0026658E"/>
    <w:rsid w:val="00270F2E"/>
    <w:rsid w:val="0027650C"/>
    <w:rsid w:val="00280AA3"/>
    <w:rsid w:val="00281E19"/>
    <w:rsid w:val="002862E8"/>
    <w:rsid w:val="002A0EA4"/>
    <w:rsid w:val="002A4A43"/>
    <w:rsid w:val="002A5120"/>
    <w:rsid w:val="002B2EB8"/>
    <w:rsid w:val="002B4C59"/>
    <w:rsid w:val="002B57DC"/>
    <w:rsid w:val="002C71F3"/>
    <w:rsid w:val="002D0521"/>
    <w:rsid w:val="002F10FE"/>
    <w:rsid w:val="00306C69"/>
    <w:rsid w:val="003128EF"/>
    <w:rsid w:val="00315D2F"/>
    <w:rsid w:val="00316F4C"/>
    <w:rsid w:val="00326885"/>
    <w:rsid w:val="003336CE"/>
    <w:rsid w:val="003359F8"/>
    <w:rsid w:val="00336A97"/>
    <w:rsid w:val="00336B65"/>
    <w:rsid w:val="00337CDD"/>
    <w:rsid w:val="00342827"/>
    <w:rsid w:val="00354294"/>
    <w:rsid w:val="00355AD4"/>
    <w:rsid w:val="00357074"/>
    <w:rsid w:val="00364529"/>
    <w:rsid w:val="00365B61"/>
    <w:rsid w:val="003816D6"/>
    <w:rsid w:val="00381D64"/>
    <w:rsid w:val="0039007B"/>
    <w:rsid w:val="003A10F6"/>
    <w:rsid w:val="003B2CD4"/>
    <w:rsid w:val="003C1786"/>
    <w:rsid w:val="003D190C"/>
    <w:rsid w:val="003D3ABC"/>
    <w:rsid w:val="003D5A15"/>
    <w:rsid w:val="003F3DDC"/>
    <w:rsid w:val="003F4124"/>
    <w:rsid w:val="003F4AED"/>
    <w:rsid w:val="0040063F"/>
    <w:rsid w:val="00402883"/>
    <w:rsid w:val="0040394F"/>
    <w:rsid w:val="00404A97"/>
    <w:rsid w:val="004121B5"/>
    <w:rsid w:val="00415CFF"/>
    <w:rsid w:val="0041608A"/>
    <w:rsid w:val="00431C73"/>
    <w:rsid w:val="004335F3"/>
    <w:rsid w:val="00435DA0"/>
    <w:rsid w:val="004374E9"/>
    <w:rsid w:val="00442281"/>
    <w:rsid w:val="00442E24"/>
    <w:rsid w:val="00444361"/>
    <w:rsid w:val="004456BA"/>
    <w:rsid w:val="0045009A"/>
    <w:rsid w:val="00465EE3"/>
    <w:rsid w:val="004665DA"/>
    <w:rsid w:val="00470E19"/>
    <w:rsid w:val="004714A0"/>
    <w:rsid w:val="00473BB0"/>
    <w:rsid w:val="004765BE"/>
    <w:rsid w:val="00476E5A"/>
    <w:rsid w:val="00481202"/>
    <w:rsid w:val="00485E11"/>
    <w:rsid w:val="004A058C"/>
    <w:rsid w:val="004B0576"/>
    <w:rsid w:val="004B2003"/>
    <w:rsid w:val="004D2357"/>
    <w:rsid w:val="004D3559"/>
    <w:rsid w:val="004F11EC"/>
    <w:rsid w:val="00511C30"/>
    <w:rsid w:val="005174DE"/>
    <w:rsid w:val="005218C5"/>
    <w:rsid w:val="005253D0"/>
    <w:rsid w:val="00535EDB"/>
    <w:rsid w:val="005376F1"/>
    <w:rsid w:val="005453E8"/>
    <w:rsid w:val="00557FC2"/>
    <w:rsid w:val="00583018"/>
    <w:rsid w:val="0058450F"/>
    <w:rsid w:val="005A65D4"/>
    <w:rsid w:val="005B16D1"/>
    <w:rsid w:val="005B553B"/>
    <w:rsid w:val="005B6EF7"/>
    <w:rsid w:val="005C050B"/>
    <w:rsid w:val="005C76ED"/>
    <w:rsid w:val="005D387E"/>
    <w:rsid w:val="005E6643"/>
    <w:rsid w:val="005F3737"/>
    <w:rsid w:val="005F3E71"/>
    <w:rsid w:val="005F4138"/>
    <w:rsid w:val="005F4BA8"/>
    <w:rsid w:val="005F66CA"/>
    <w:rsid w:val="005F6744"/>
    <w:rsid w:val="00601727"/>
    <w:rsid w:val="00605F65"/>
    <w:rsid w:val="0063405A"/>
    <w:rsid w:val="00635822"/>
    <w:rsid w:val="006428BD"/>
    <w:rsid w:val="00647AB1"/>
    <w:rsid w:val="006507F5"/>
    <w:rsid w:val="00654EAD"/>
    <w:rsid w:val="00656CD4"/>
    <w:rsid w:val="00660968"/>
    <w:rsid w:val="00665652"/>
    <w:rsid w:val="00671E7F"/>
    <w:rsid w:val="00671EB6"/>
    <w:rsid w:val="00673571"/>
    <w:rsid w:val="00687D57"/>
    <w:rsid w:val="00690F35"/>
    <w:rsid w:val="00694EE0"/>
    <w:rsid w:val="00697B12"/>
    <w:rsid w:val="006A77D9"/>
    <w:rsid w:val="006B34BD"/>
    <w:rsid w:val="006B53F8"/>
    <w:rsid w:val="006B735E"/>
    <w:rsid w:val="006D245D"/>
    <w:rsid w:val="006D3920"/>
    <w:rsid w:val="006D6DBA"/>
    <w:rsid w:val="006E15E0"/>
    <w:rsid w:val="00704770"/>
    <w:rsid w:val="00705605"/>
    <w:rsid w:val="00706D99"/>
    <w:rsid w:val="00716E9B"/>
    <w:rsid w:val="007208EB"/>
    <w:rsid w:val="00725C59"/>
    <w:rsid w:val="007333FF"/>
    <w:rsid w:val="00734112"/>
    <w:rsid w:val="00750094"/>
    <w:rsid w:val="0076104F"/>
    <w:rsid w:val="007701FA"/>
    <w:rsid w:val="00770E78"/>
    <w:rsid w:val="00781DE5"/>
    <w:rsid w:val="0079339E"/>
    <w:rsid w:val="00797091"/>
    <w:rsid w:val="007A2C3C"/>
    <w:rsid w:val="007B0189"/>
    <w:rsid w:val="007C0852"/>
    <w:rsid w:val="007E4047"/>
    <w:rsid w:val="007E72F2"/>
    <w:rsid w:val="007F2587"/>
    <w:rsid w:val="007F5B05"/>
    <w:rsid w:val="00813B39"/>
    <w:rsid w:val="008144F9"/>
    <w:rsid w:val="00815408"/>
    <w:rsid w:val="008162B6"/>
    <w:rsid w:val="00823CF3"/>
    <w:rsid w:val="00827567"/>
    <w:rsid w:val="00830618"/>
    <w:rsid w:val="00865C85"/>
    <w:rsid w:val="00877ED0"/>
    <w:rsid w:val="00880502"/>
    <w:rsid w:val="00886952"/>
    <w:rsid w:val="00886BCC"/>
    <w:rsid w:val="008931A1"/>
    <w:rsid w:val="00893736"/>
    <w:rsid w:val="008963F2"/>
    <w:rsid w:val="008A7E32"/>
    <w:rsid w:val="008B442E"/>
    <w:rsid w:val="00900CCC"/>
    <w:rsid w:val="00903367"/>
    <w:rsid w:val="0090593C"/>
    <w:rsid w:val="00910924"/>
    <w:rsid w:val="00916127"/>
    <w:rsid w:val="00921431"/>
    <w:rsid w:val="00922B55"/>
    <w:rsid w:val="00926ECD"/>
    <w:rsid w:val="00930276"/>
    <w:rsid w:val="009324B4"/>
    <w:rsid w:val="009324DC"/>
    <w:rsid w:val="009503AE"/>
    <w:rsid w:val="00950B85"/>
    <w:rsid w:val="0095363F"/>
    <w:rsid w:val="009542B4"/>
    <w:rsid w:val="00956A3E"/>
    <w:rsid w:val="009616AD"/>
    <w:rsid w:val="00971F6E"/>
    <w:rsid w:val="00972894"/>
    <w:rsid w:val="0098040A"/>
    <w:rsid w:val="00984C89"/>
    <w:rsid w:val="009871B5"/>
    <w:rsid w:val="00991782"/>
    <w:rsid w:val="00992C5D"/>
    <w:rsid w:val="009A3F13"/>
    <w:rsid w:val="009A4191"/>
    <w:rsid w:val="009A7362"/>
    <w:rsid w:val="009B0434"/>
    <w:rsid w:val="009B32D5"/>
    <w:rsid w:val="009B50EE"/>
    <w:rsid w:val="009C4B4D"/>
    <w:rsid w:val="009C503D"/>
    <w:rsid w:val="009D0F6E"/>
    <w:rsid w:val="009E250F"/>
    <w:rsid w:val="009E4606"/>
    <w:rsid w:val="009E4E6B"/>
    <w:rsid w:val="009F017C"/>
    <w:rsid w:val="009F2C94"/>
    <w:rsid w:val="009F4AA7"/>
    <w:rsid w:val="00A00619"/>
    <w:rsid w:val="00A0227A"/>
    <w:rsid w:val="00A0381A"/>
    <w:rsid w:val="00A06A32"/>
    <w:rsid w:val="00A17F1E"/>
    <w:rsid w:val="00A23924"/>
    <w:rsid w:val="00A263B4"/>
    <w:rsid w:val="00A32273"/>
    <w:rsid w:val="00A41E5E"/>
    <w:rsid w:val="00A500F3"/>
    <w:rsid w:val="00A63FE0"/>
    <w:rsid w:val="00A65A8B"/>
    <w:rsid w:val="00A66796"/>
    <w:rsid w:val="00A77F1B"/>
    <w:rsid w:val="00A8273E"/>
    <w:rsid w:val="00A874A5"/>
    <w:rsid w:val="00A95E5C"/>
    <w:rsid w:val="00AA0152"/>
    <w:rsid w:val="00AA5BCC"/>
    <w:rsid w:val="00AA6521"/>
    <w:rsid w:val="00AB396E"/>
    <w:rsid w:val="00AB61A6"/>
    <w:rsid w:val="00AC1DD7"/>
    <w:rsid w:val="00AE0753"/>
    <w:rsid w:val="00AF12E9"/>
    <w:rsid w:val="00AF48C2"/>
    <w:rsid w:val="00AF63A1"/>
    <w:rsid w:val="00B00CDA"/>
    <w:rsid w:val="00B1771A"/>
    <w:rsid w:val="00B212A3"/>
    <w:rsid w:val="00B33F52"/>
    <w:rsid w:val="00B3497C"/>
    <w:rsid w:val="00B3654D"/>
    <w:rsid w:val="00B367F1"/>
    <w:rsid w:val="00B40C13"/>
    <w:rsid w:val="00B54017"/>
    <w:rsid w:val="00B56DA4"/>
    <w:rsid w:val="00B66E01"/>
    <w:rsid w:val="00B67365"/>
    <w:rsid w:val="00B86A2E"/>
    <w:rsid w:val="00B86D09"/>
    <w:rsid w:val="00B878E1"/>
    <w:rsid w:val="00B9267C"/>
    <w:rsid w:val="00B96D87"/>
    <w:rsid w:val="00BA72CA"/>
    <w:rsid w:val="00BB5091"/>
    <w:rsid w:val="00BE4BA1"/>
    <w:rsid w:val="00BF223E"/>
    <w:rsid w:val="00BF49C6"/>
    <w:rsid w:val="00BF5A67"/>
    <w:rsid w:val="00C073C5"/>
    <w:rsid w:val="00C25D55"/>
    <w:rsid w:val="00C43686"/>
    <w:rsid w:val="00C47D43"/>
    <w:rsid w:val="00C506E5"/>
    <w:rsid w:val="00C51C0D"/>
    <w:rsid w:val="00C72F88"/>
    <w:rsid w:val="00C73EDF"/>
    <w:rsid w:val="00C74DFF"/>
    <w:rsid w:val="00C846A6"/>
    <w:rsid w:val="00C84A4C"/>
    <w:rsid w:val="00C87A1F"/>
    <w:rsid w:val="00CA3629"/>
    <w:rsid w:val="00CC1928"/>
    <w:rsid w:val="00CD1674"/>
    <w:rsid w:val="00CD2B48"/>
    <w:rsid w:val="00CE3C42"/>
    <w:rsid w:val="00CE782F"/>
    <w:rsid w:val="00D0229E"/>
    <w:rsid w:val="00D063D0"/>
    <w:rsid w:val="00D10C0E"/>
    <w:rsid w:val="00D23A12"/>
    <w:rsid w:val="00D31F96"/>
    <w:rsid w:val="00D32BA1"/>
    <w:rsid w:val="00D33C3A"/>
    <w:rsid w:val="00D6117C"/>
    <w:rsid w:val="00D77855"/>
    <w:rsid w:val="00D80A93"/>
    <w:rsid w:val="00D811BF"/>
    <w:rsid w:val="00D82506"/>
    <w:rsid w:val="00DA205F"/>
    <w:rsid w:val="00DA4D97"/>
    <w:rsid w:val="00DA5107"/>
    <w:rsid w:val="00DA6522"/>
    <w:rsid w:val="00DA6D94"/>
    <w:rsid w:val="00DB10D1"/>
    <w:rsid w:val="00DD0652"/>
    <w:rsid w:val="00DD0D8D"/>
    <w:rsid w:val="00DD4BDF"/>
    <w:rsid w:val="00DD53AB"/>
    <w:rsid w:val="00DD59E0"/>
    <w:rsid w:val="00DE15E9"/>
    <w:rsid w:val="00DE2C6A"/>
    <w:rsid w:val="00DF2AA2"/>
    <w:rsid w:val="00DF3597"/>
    <w:rsid w:val="00E033D6"/>
    <w:rsid w:val="00E05D3D"/>
    <w:rsid w:val="00E17E57"/>
    <w:rsid w:val="00E2762C"/>
    <w:rsid w:val="00E30486"/>
    <w:rsid w:val="00E30E8B"/>
    <w:rsid w:val="00E31209"/>
    <w:rsid w:val="00E33495"/>
    <w:rsid w:val="00E363C7"/>
    <w:rsid w:val="00E4280B"/>
    <w:rsid w:val="00E461C5"/>
    <w:rsid w:val="00E561ED"/>
    <w:rsid w:val="00E62A69"/>
    <w:rsid w:val="00E8109B"/>
    <w:rsid w:val="00E82E66"/>
    <w:rsid w:val="00E87F04"/>
    <w:rsid w:val="00E9111B"/>
    <w:rsid w:val="00E91273"/>
    <w:rsid w:val="00E91CDC"/>
    <w:rsid w:val="00E9332A"/>
    <w:rsid w:val="00E945BC"/>
    <w:rsid w:val="00E94C41"/>
    <w:rsid w:val="00EA2CC9"/>
    <w:rsid w:val="00EB29AC"/>
    <w:rsid w:val="00EB4627"/>
    <w:rsid w:val="00EC1187"/>
    <w:rsid w:val="00EC490F"/>
    <w:rsid w:val="00ED5EED"/>
    <w:rsid w:val="00ED7202"/>
    <w:rsid w:val="00EE47DB"/>
    <w:rsid w:val="00EE4BFF"/>
    <w:rsid w:val="00EF1603"/>
    <w:rsid w:val="00F0572B"/>
    <w:rsid w:val="00F13292"/>
    <w:rsid w:val="00F216AE"/>
    <w:rsid w:val="00F268CC"/>
    <w:rsid w:val="00F30250"/>
    <w:rsid w:val="00F41781"/>
    <w:rsid w:val="00F417F1"/>
    <w:rsid w:val="00F439B4"/>
    <w:rsid w:val="00F461BF"/>
    <w:rsid w:val="00F47B37"/>
    <w:rsid w:val="00F51289"/>
    <w:rsid w:val="00F612ED"/>
    <w:rsid w:val="00F70262"/>
    <w:rsid w:val="00F71DE5"/>
    <w:rsid w:val="00F7223A"/>
    <w:rsid w:val="00F77D37"/>
    <w:rsid w:val="00F807F0"/>
    <w:rsid w:val="00F8184C"/>
    <w:rsid w:val="00F9090B"/>
    <w:rsid w:val="00F92B2A"/>
    <w:rsid w:val="00F94CC5"/>
    <w:rsid w:val="00F95D15"/>
    <w:rsid w:val="00FA544F"/>
    <w:rsid w:val="00FA75C4"/>
    <w:rsid w:val="00FC2D87"/>
    <w:rsid w:val="00FD3362"/>
    <w:rsid w:val="00FD5890"/>
    <w:rsid w:val="00FD7A3B"/>
    <w:rsid w:val="00FD7EF3"/>
    <w:rsid w:val="00FD7F21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818D"/>
  <w15:docId w15:val="{F2186564-88CD-4D29-81CD-9267DEDA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8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D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7C0852"/>
    <w:pPr>
      <w:keepNext/>
      <w:keepLines/>
      <w:spacing w:after="123"/>
      <w:ind w:left="82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6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C0852"/>
    <w:rPr>
      <w:rFonts w:ascii="Times New Roman" w:eastAsia="Times New Roman" w:hAnsi="Times New Roman" w:cs="Times New Roman"/>
      <w:color w:val="000000"/>
      <w:sz w:val="3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085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C0852"/>
  </w:style>
  <w:style w:type="paragraph" w:styleId="Stopka">
    <w:name w:val="footer"/>
    <w:basedOn w:val="Normalny"/>
    <w:link w:val="StopkaZnak"/>
    <w:uiPriority w:val="99"/>
    <w:unhideWhenUsed/>
    <w:rsid w:val="007C085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C0852"/>
  </w:style>
  <w:style w:type="paragraph" w:styleId="Akapitzlist">
    <w:name w:val="List Paragraph"/>
    <w:aliases w:val="L1,Numerowanie,List Paragraph,Akapit z listą5,Akapit z listą BS,Kolorowa lista — akcent 11,CW_Lista,Podsis rysunku,Nagłowek 3,Akapit z listą 2 poziom,wypunktowanie,lp1,Preambuła,CP-UC,CP-Punkty,Bullet List,List - bullets,Equipment,Dot pt"/>
    <w:basedOn w:val="Normalny"/>
    <w:link w:val="AkapitzlistZnak"/>
    <w:uiPriority w:val="34"/>
    <w:qFormat/>
    <w:rsid w:val="007C0852"/>
    <w:pPr>
      <w:suppressAutoHyphens w:val="0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C0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C0852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C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7C08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7C0852"/>
    <w:rPr>
      <w:sz w:val="44"/>
      <w:szCs w:val="20"/>
    </w:rPr>
  </w:style>
  <w:style w:type="paragraph" w:styleId="Tekstpodstawowy">
    <w:name w:val="Body Text"/>
    <w:basedOn w:val="Normalny"/>
    <w:link w:val="TekstpodstawowyZnak"/>
    <w:uiPriority w:val="99"/>
    <w:rsid w:val="007C0852"/>
    <w:pPr>
      <w:tabs>
        <w:tab w:val="left" w:pos="567"/>
      </w:tabs>
      <w:suppressAutoHyphens w:val="0"/>
      <w:jc w:val="both"/>
    </w:pPr>
    <w:rPr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085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C0852"/>
    <w:rPr>
      <w:color w:val="0563C1" w:themeColor="hyperlink"/>
      <w:u w:val="single"/>
    </w:rPr>
  </w:style>
  <w:style w:type="paragraph" w:customStyle="1" w:styleId="Konspn">
    <w:name w:val="Konspn"/>
    <w:basedOn w:val="Normalny"/>
    <w:uiPriority w:val="99"/>
    <w:rsid w:val="007C0852"/>
    <w:pPr>
      <w:numPr>
        <w:numId w:val="1"/>
      </w:numPr>
      <w:spacing w:line="360" w:lineRule="auto"/>
      <w:jc w:val="both"/>
    </w:pPr>
  </w:style>
  <w:style w:type="paragraph" w:styleId="Tekstkomentarza">
    <w:name w:val="annotation text"/>
    <w:basedOn w:val="Normalny"/>
    <w:link w:val="TekstkomentarzaZnak"/>
    <w:uiPriority w:val="99"/>
    <w:unhideWhenUsed/>
    <w:rsid w:val="007C08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08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21">
    <w:name w:val="Body Text 21"/>
    <w:basedOn w:val="Normalny"/>
    <w:rsid w:val="007C0852"/>
    <w:pPr>
      <w:tabs>
        <w:tab w:val="left" w:pos="0"/>
      </w:tabs>
      <w:suppressAutoHyphens w:val="0"/>
      <w:jc w:val="both"/>
    </w:pPr>
    <w:rPr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,CW_Lista Znak,Podsis rysunku Znak,Nagłowek 3 Znak,Akapit z listą 2 poziom Znak,wypunktowanie Znak,lp1 Znak"/>
    <w:basedOn w:val="Domylnaczcionkaakapitu"/>
    <w:link w:val="Akapitzlist"/>
    <w:uiPriority w:val="34"/>
    <w:qFormat/>
    <w:locked/>
    <w:rsid w:val="007C0852"/>
    <w:rPr>
      <w:rFonts w:ascii="Calibri" w:hAnsi="Calibri" w:cs="Calibri"/>
    </w:rPr>
  </w:style>
  <w:style w:type="paragraph" w:styleId="NormalnyWeb">
    <w:name w:val="Normal (Web)"/>
    <w:basedOn w:val="Normalny"/>
    <w:uiPriority w:val="99"/>
    <w:unhideWhenUsed/>
    <w:rsid w:val="007C0852"/>
    <w:pPr>
      <w:suppressAutoHyphens w:val="0"/>
    </w:pPr>
    <w:rPr>
      <w:rFonts w:ascii="Calibri" w:eastAsiaTheme="minorHAnsi" w:hAnsi="Calibri" w:cs="Calibri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7D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8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8E0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08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8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8E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pf0">
    <w:name w:val="pf0"/>
    <w:basedOn w:val="Normalny"/>
    <w:uiPriority w:val="99"/>
    <w:rsid w:val="005218C5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01">
    <w:name w:val="cf01"/>
    <w:basedOn w:val="Domylnaczcionkaakapitu"/>
    <w:rsid w:val="005218C5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442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67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CD1674"/>
    <w:pPr>
      <w:widowControl w:val="0"/>
      <w:suppressAutoHyphens w:val="0"/>
      <w:snapToGrid w:val="0"/>
      <w:jc w:val="center"/>
    </w:pPr>
    <w:rPr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D167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CD1674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CD167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A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3F4AE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F4AED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lb">
    <w:name w:val="a_lb"/>
    <w:basedOn w:val="Domylnaczcionkaakapitu"/>
    <w:qFormat/>
    <w:rsid w:val="00234B91"/>
  </w:style>
  <w:style w:type="character" w:customStyle="1" w:styleId="Nagwek1Znak">
    <w:name w:val="Nagłówek 1 Znak"/>
    <w:basedOn w:val="Domylnaczcionkaakapitu"/>
    <w:link w:val="Nagwek1"/>
    <w:uiPriority w:val="9"/>
    <w:rsid w:val="00AC1D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.perec@pm.szczecin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.perec@pm.szczecin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E783.E8EE84F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6B17F6FA3794DB0DD7BAEB726B4E8" ma:contentTypeVersion="17" ma:contentTypeDescription="Create a new document." ma:contentTypeScope="" ma:versionID="453303cd38a5e7dea8ee9991e5f29ed5">
  <xsd:schema xmlns:xsd="http://www.w3.org/2001/XMLSchema" xmlns:xs="http://www.w3.org/2001/XMLSchema" xmlns:p="http://schemas.microsoft.com/office/2006/metadata/properties" xmlns:ns3="af6efdba-b889-4a6d-b12a-065623b480e7" xmlns:ns4="4768176b-29b1-4e7f-b1b4-212889d0e728" targetNamespace="http://schemas.microsoft.com/office/2006/metadata/properties" ma:root="true" ma:fieldsID="5cf4241b951351d89a2c6e902b2e0a3c" ns3:_="" ns4:_="">
    <xsd:import namespace="af6efdba-b889-4a6d-b12a-065623b480e7"/>
    <xsd:import namespace="4768176b-29b1-4e7f-b1b4-212889d0e7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efdba-b889-4a6d-b12a-065623b480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8176b-29b1-4e7f-b1b4-212889d0e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68176b-29b1-4e7f-b1b4-212889d0e728" xsi:nil="true"/>
  </documentManagement>
</p:properties>
</file>

<file path=customXml/itemProps1.xml><?xml version="1.0" encoding="utf-8"?>
<ds:datastoreItem xmlns:ds="http://schemas.openxmlformats.org/officeDocument/2006/customXml" ds:itemID="{E39A0FC0-9B05-449D-9F9F-95B313385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61C3D-A860-4C4F-939D-E4838E6665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91BD13-9507-4D80-B4BE-A232D880D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efdba-b889-4a6d-b12a-065623b480e7"/>
    <ds:schemaRef ds:uri="4768176b-29b1-4e7f-b1b4-212889d0e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F0910F-FA82-4C32-AD17-EA6CA18AA965}">
  <ds:schemaRefs>
    <ds:schemaRef ds:uri="http://schemas.microsoft.com/office/2006/metadata/properties"/>
    <ds:schemaRef ds:uri="http://schemas.microsoft.com/office/infopath/2007/PartnerControls"/>
    <ds:schemaRef ds:uri="4768176b-29b1-4e7f-b1b4-212889d0e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3325</Words>
  <Characters>19950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Urbańska</dc:creator>
  <cp:keywords/>
  <dc:description/>
  <cp:lastModifiedBy>Kamila Perec</cp:lastModifiedBy>
  <cp:revision>2</cp:revision>
  <cp:lastPrinted>2026-05-28T11:07:00Z</cp:lastPrinted>
  <dcterms:created xsi:type="dcterms:W3CDTF">2026-05-28T12:44:00Z</dcterms:created>
  <dcterms:modified xsi:type="dcterms:W3CDTF">2026-05-28T12:44:00Z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0x010100FEA6B17F6FA3794DB0DD7BAEB726B4E8</vt:lpwstr>
  </property>
</Properties>
</file>